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3A" w:rsidRPr="00024E0B" w:rsidRDefault="00D6433A" w:rsidP="00D6433A">
      <w:pPr>
        <w:autoSpaceDE w:val="0"/>
        <w:autoSpaceDN w:val="0"/>
        <w:adjustRightInd w:val="0"/>
        <w:spacing w:after="0" w:line="240" w:lineRule="auto"/>
        <w:rPr>
          <w:rFonts w:ascii="Times-Roman" w:hAnsi="Times-Roman" w:cs="Times-Roman"/>
          <w:sz w:val="36"/>
          <w:szCs w:val="36"/>
          <w:u w:val="single"/>
        </w:rPr>
      </w:pPr>
      <w:r w:rsidRPr="00024E0B">
        <w:rPr>
          <w:rFonts w:ascii="Times-Roman" w:hAnsi="Times-Roman" w:cs="Times-Roman"/>
          <w:sz w:val="36"/>
          <w:szCs w:val="36"/>
          <w:u w:val="single"/>
        </w:rPr>
        <w:t>Box Elder County 201</w:t>
      </w:r>
      <w:r w:rsidR="00FE7C3B">
        <w:rPr>
          <w:rFonts w:ascii="Times-Roman" w:hAnsi="Times-Roman" w:cs="Times-Roman"/>
          <w:sz w:val="36"/>
          <w:szCs w:val="36"/>
          <w:u w:val="single"/>
        </w:rPr>
        <w:t>7</w:t>
      </w:r>
      <w:r w:rsidRPr="00024E0B">
        <w:rPr>
          <w:rFonts w:ascii="Times-Roman" w:hAnsi="Times-Roman" w:cs="Times-Roman"/>
          <w:sz w:val="36"/>
          <w:szCs w:val="36"/>
          <w:u w:val="single"/>
        </w:rPr>
        <w:t xml:space="preserve"> Budget Message</w:t>
      </w:r>
    </w:p>
    <w:p w:rsidR="00D6433A" w:rsidRPr="00024E0B" w:rsidRDefault="00D6433A" w:rsidP="00D6433A">
      <w:pPr>
        <w:autoSpaceDE w:val="0"/>
        <w:autoSpaceDN w:val="0"/>
        <w:adjustRightInd w:val="0"/>
        <w:spacing w:after="0" w:line="240" w:lineRule="auto"/>
        <w:rPr>
          <w:rFonts w:ascii="Times-Roman" w:hAnsi="Times-Roman" w:cs="Times-Roman"/>
          <w:sz w:val="12"/>
          <w:szCs w:val="12"/>
        </w:rPr>
      </w:pPr>
    </w:p>
    <w:p w:rsidR="00B3349C" w:rsidRPr="00B322C7" w:rsidRDefault="00B3349C" w:rsidP="00B3349C">
      <w:pPr>
        <w:pStyle w:val="Header"/>
        <w:jc w:val="both"/>
        <w:rPr>
          <w:rFonts w:ascii="Times-Roman" w:eastAsiaTheme="minorHAnsi" w:hAnsi="Times-Roman" w:cs="Times-Roman"/>
          <w:sz w:val="24"/>
        </w:rPr>
      </w:pPr>
      <w:r w:rsidRPr="00B322C7">
        <w:rPr>
          <w:rFonts w:ascii="Times-Roman" w:eastAsiaTheme="minorHAnsi" w:hAnsi="Times-Roman" w:cs="Times-Roman"/>
          <w:sz w:val="24"/>
        </w:rPr>
        <w:t>Box Elder County is located in the northwest portion of the State of Utah.  It was organized by State Statute and serves the citizens of Northern Utah.  The County provides services that include general government, public safety, public health and welfare, streets and public improvements, parks, recreation, solid waste management, library services, and conservation and development programs</w:t>
      </w:r>
    </w:p>
    <w:p w:rsidR="00B3349C" w:rsidRDefault="00B3349C" w:rsidP="00D6433A">
      <w:pPr>
        <w:autoSpaceDE w:val="0"/>
        <w:autoSpaceDN w:val="0"/>
        <w:adjustRightInd w:val="0"/>
        <w:spacing w:after="0" w:line="240" w:lineRule="auto"/>
        <w:rPr>
          <w:rFonts w:ascii="Times-Roman" w:hAnsi="Times-Roman" w:cs="Times-Roman"/>
          <w:sz w:val="24"/>
          <w:szCs w:val="24"/>
        </w:rP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sz w:val="24"/>
        </w:rPr>
        <w:t>The County uses the following funds for budgetary purposes:</w:t>
      </w: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sz w:val="24"/>
        </w:rPr>
        <w:tab/>
      </w:r>
      <w:r w:rsidRPr="00B322C7">
        <w:rPr>
          <w:rFonts w:ascii="Times-Roman" w:eastAsiaTheme="minorHAnsi" w:hAnsi="Times-Roman" w:cs="Times-Roman"/>
          <w:sz w:val="24"/>
        </w:rPr>
        <w:tab/>
      </w:r>
      <w:r w:rsidRPr="00B322C7">
        <w:rPr>
          <w:rFonts w:ascii="Times-Roman" w:eastAsiaTheme="minorHAnsi" w:hAnsi="Times-Roman" w:cs="Times-Roman"/>
          <w:sz w:val="24"/>
        </w:rPr>
        <w:tab/>
      </w: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General Fund</w:t>
      </w:r>
      <w:r w:rsidRPr="00B322C7">
        <w:rPr>
          <w:rFonts w:ascii="Times-Roman" w:eastAsiaTheme="minorHAnsi" w:hAnsi="Times-Roman" w:cs="Times-Roman"/>
          <w:sz w:val="24"/>
        </w:rPr>
        <w:t>---The General Fund accounts for all activities not accounted for by other funds of the County.  This includes</w:t>
      </w:r>
      <w:r w:rsidR="00600D96">
        <w:rPr>
          <w:rFonts w:ascii="Times-Roman" w:eastAsiaTheme="minorHAnsi" w:hAnsi="Times-Roman" w:cs="Times-Roman"/>
          <w:sz w:val="24"/>
        </w:rPr>
        <w:t xml:space="preserve"> the County Jail, portions of the Sheriff’s budget and </w:t>
      </w:r>
      <w:r w:rsidRPr="00B322C7">
        <w:rPr>
          <w:rFonts w:ascii="Times-Roman" w:eastAsiaTheme="minorHAnsi" w:hAnsi="Times-Roman" w:cs="Times-Roman"/>
          <w:sz w:val="24"/>
        </w:rPr>
        <w:t>the majority of the administrative departments of the County (Assessor, Auditor, Commission, etc)</w:t>
      </w:r>
      <w:r>
        <w:rPr>
          <w:rFonts w:ascii="Times-Roman" w:eastAsiaTheme="minorHAnsi" w:hAnsi="Times-Roman" w:cs="Times-Roman"/>
          <w:sz w:val="24"/>
        </w:rPr>
        <w:t>.</w:t>
      </w:r>
      <w:r w:rsidRPr="00B322C7">
        <w:rPr>
          <w:rFonts w:ascii="Times-Roman" w:eastAsiaTheme="minorHAnsi" w:hAnsi="Times-Roman" w:cs="Times-Roman"/>
          <w:sz w:val="24"/>
        </w:rPr>
        <w:t xml:space="preserve"> The principal source of revenue for this fund is property taxes. </w:t>
      </w:r>
    </w:p>
    <w:p w:rsidR="00B3349C" w:rsidRDefault="00B3349C" w:rsidP="00B3349C">
      <w:pPr>
        <w:pStyle w:val="Header"/>
      </w:pP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Municipal Services Fund</w:t>
      </w:r>
      <w:r w:rsidRPr="00B322C7">
        <w:rPr>
          <w:rFonts w:ascii="Times-Roman" w:eastAsiaTheme="minorHAnsi" w:hAnsi="Times-Roman" w:cs="Times-Roman"/>
          <w:sz w:val="24"/>
        </w:rPr>
        <w:t xml:space="preserve">---The Municipal Services Fund accounts for monies received by the County for the purpose of providing municipal type services for the unincorporated areas of the County (Community Development, Econ Development, Road </w:t>
      </w:r>
      <w:r w:rsidR="00600D96" w:rsidRPr="00B322C7">
        <w:rPr>
          <w:rFonts w:ascii="Times-Roman" w:eastAsiaTheme="minorHAnsi" w:hAnsi="Times-Roman" w:cs="Times-Roman"/>
          <w:sz w:val="24"/>
        </w:rPr>
        <w:t>Dept.</w:t>
      </w:r>
      <w:r w:rsidRPr="00B322C7">
        <w:rPr>
          <w:rFonts w:ascii="Times-Roman" w:eastAsiaTheme="minorHAnsi" w:hAnsi="Times-Roman" w:cs="Times-Roman"/>
          <w:sz w:val="24"/>
        </w:rPr>
        <w:t xml:space="preserve">, </w:t>
      </w:r>
      <w:r w:rsidR="00600D96">
        <w:rPr>
          <w:rFonts w:ascii="Times-Roman" w:eastAsiaTheme="minorHAnsi" w:hAnsi="Times-Roman" w:cs="Times-Roman"/>
          <w:sz w:val="24"/>
        </w:rPr>
        <w:t xml:space="preserve">Patrol, Detectives, </w:t>
      </w:r>
      <w:r w:rsidR="00600D96" w:rsidRPr="00B322C7">
        <w:rPr>
          <w:rFonts w:ascii="Times-Roman" w:eastAsiaTheme="minorHAnsi" w:hAnsi="Times-Roman" w:cs="Times-Roman"/>
          <w:sz w:val="24"/>
        </w:rPr>
        <w:t>etc.</w:t>
      </w:r>
      <w:r w:rsidRPr="00B322C7">
        <w:rPr>
          <w:rFonts w:ascii="Times-Roman" w:eastAsiaTheme="minorHAnsi" w:hAnsi="Times-Roman" w:cs="Times-Roman"/>
          <w:sz w:val="24"/>
        </w:rPr>
        <w:t>)</w:t>
      </w:r>
    </w:p>
    <w:p w:rsidR="00600D96" w:rsidRDefault="00600D96" w:rsidP="00B3349C">
      <w:pPr>
        <w:pStyle w:val="Header"/>
        <w:rPr>
          <w:rFonts w:ascii="Times-Roman" w:eastAsiaTheme="minorHAnsi" w:hAnsi="Times-Roman" w:cs="Times-Roman"/>
          <w:sz w:val="24"/>
        </w:rPr>
      </w:pPr>
    </w:p>
    <w:p w:rsidR="00600D96" w:rsidRPr="00B322C7" w:rsidRDefault="00600D96" w:rsidP="00600D96">
      <w:pPr>
        <w:pStyle w:val="Header"/>
        <w:rPr>
          <w:rFonts w:ascii="Times-Roman" w:eastAsiaTheme="minorHAnsi" w:hAnsi="Times-Roman" w:cs="Times-Roman"/>
          <w:sz w:val="24"/>
        </w:rPr>
      </w:pPr>
      <w:r w:rsidRPr="00B322C7">
        <w:rPr>
          <w:rFonts w:ascii="Times-Roman" w:eastAsiaTheme="minorHAnsi" w:hAnsi="Times-Roman" w:cs="Times-Roman"/>
          <w:b/>
          <w:sz w:val="24"/>
        </w:rPr>
        <w:t>Public Safety Fund</w:t>
      </w:r>
      <w:r w:rsidRPr="00B322C7">
        <w:rPr>
          <w:rFonts w:ascii="Times-Roman" w:eastAsiaTheme="minorHAnsi" w:hAnsi="Times-Roman" w:cs="Times-Roman"/>
          <w:sz w:val="24"/>
        </w:rPr>
        <w:t xml:space="preserve"> –The Public Safety Fund </w:t>
      </w:r>
      <w:r w:rsidR="0030469A">
        <w:rPr>
          <w:rFonts w:ascii="Times-Roman" w:eastAsiaTheme="minorHAnsi" w:hAnsi="Times-Roman" w:cs="Times-Roman"/>
          <w:sz w:val="24"/>
        </w:rPr>
        <w:t>will no longer be used going forward.  It has been allocated among the General Fund and the Municipal Services Fund.  It accounted</w:t>
      </w:r>
      <w:r w:rsidRPr="00B322C7">
        <w:rPr>
          <w:rFonts w:ascii="Times-Roman" w:eastAsiaTheme="minorHAnsi" w:hAnsi="Times-Roman" w:cs="Times-Roman"/>
          <w:sz w:val="24"/>
        </w:rPr>
        <w:t xml:space="preserve"> for monies received by the County for the purpose of providing public safety services for the unincorporated areas of the County and the operation of the County Jail</w:t>
      </w:r>
    </w:p>
    <w:p w:rsidR="00B3349C" w:rsidRDefault="00B3349C" w:rsidP="00B3349C">
      <w:pPr>
        <w:pStyle w:val="Heade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Justice Court Fund</w:t>
      </w:r>
      <w:r w:rsidRPr="00B322C7">
        <w:rPr>
          <w:rFonts w:ascii="Times-Roman" w:eastAsiaTheme="minorHAnsi" w:hAnsi="Times-Roman" w:cs="Times-Roman"/>
          <w:sz w:val="24"/>
        </w:rPr>
        <w:t xml:space="preserve"> –The Justice Court Fund accounts for the resources used to operate the County’s Justice Court.</w:t>
      </w:r>
    </w:p>
    <w:p w:rsidR="00B3349C" w:rsidRDefault="00B3349C" w:rsidP="00B3349C">
      <w:pPr>
        <w:pStyle w:val="Header"/>
      </w:pP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Tourism Fund</w:t>
      </w:r>
      <w:r>
        <w:rPr>
          <w:rFonts w:ascii="Times-Roman" w:eastAsiaTheme="minorHAnsi" w:hAnsi="Times-Roman" w:cs="Times-Roman"/>
          <w:b/>
          <w:sz w:val="24"/>
        </w:rPr>
        <w:t xml:space="preserve"> </w:t>
      </w:r>
      <w:r>
        <w:rPr>
          <w:rFonts w:ascii="Times-Roman" w:eastAsiaTheme="minorHAnsi" w:hAnsi="Times-Roman" w:cs="Times-Roman"/>
          <w:sz w:val="24"/>
        </w:rPr>
        <w:t xml:space="preserve">-- </w:t>
      </w:r>
      <w:r w:rsidRPr="00B322C7">
        <w:rPr>
          <w:rFonts w:ascii="Times-Roman" w:eastAsiaTheme="minorHAnsi" w:hAnsi="Times-Roman" w:cs="Times-Roman"/>
          <w:sz w:val="24"/>
        </w:rPr>
        <w:t>The Tourism Fund accounts for resources used for the promotion of tourism within Box Elder County, the Box Elder County Fairgrounds and the Box Elder County Fair.</w:t>
      </w:r>
    </w:p>
    <w:p w:rsidR="00B3349C" w:rsidRDefault="00B3349C" w:rsidP="00B3349C">
      <w:pPr>
        <w:pStyle w:val="Header"/>
      </w:pP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Capital Project Fund</w:t>
      </w:r>
      <w:r>
        <w:rPr>
          <w:rFonts w:ascii="Times-Roman" w:eastAsiaTheme="minorHAnsi" w:hAnsi="Times-Roman" w:cs="Times-Roman"/>
          <w:sz w:val="24"/>
        </w:rPr>
        <w:t xml:space="preserve"> – </w:t>
      </w:r>
      <w:r w:rsidRPr="00B322C7">
        <w:rPr>
          <w:rFonts w:ascii="Times-Roman" w:eastAsiaTheme="minorHAnsi" w:hAnsi="Times-Roman" w:cs="Times-Roman"/>
          <w:sz w:val="24"/>
        </w:rPr>
        <w:t xml:space="preserve">The Capital Project Fund accounts for financial resources used for the acquisition or construction of capital projects for governmental funds.  </w:t>
      </w:r>
      <w:r w:rsidRPr="00B322C7">
        <w:rPr>
          <w:rFonts w:ascii="Times-Roman" w:eastAsiaTheme="minorHAnsi" w:hAnsi="Times-Roman" w:cs="Times-Roman"/>
          <w:sz w:val="24"/>
        </w:rPr>
        <w:tab/>
      </w:r>
    </w:p>
    <w:p w:rsidR="00B3349C" w:rsidRDefault="00B3349C" w:rsidP="00B3349C">
      <w:pPr>
        <w:pStyle w:val="Header"/>
        <w:rPr>
          <w:rFonts w:ascii="Times-Roman" w:eastAsiaTheme="minorHAnsi" w:hAnsi="Times-Roman" w:cs="Times-Roman"/>
          <w:sz w:val="24"/>
        </w:rP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County Library Fund</w:t>
      </w:r>
      <w:r w:rsidRPr="00B322C7">
        <w:rPr>
          <w:rFonts w:ascii="Times-Roman" w:eastAsiaTheme="minorHAnsi" w:hAnsi="Times-Roman" w:cs="Times-Roman"/>
          <w:sz w:val="24"/>
        </w:rPr>
        <w:t xml:space="preserve"> – The County Library Fund accounts for the resources used to operate the bookmobile service provided by the County.  This fund has its own dedicated property tax assigned to it. </w:t>
      </w:r>
      <w:r w:rsidRPr="00B322C7">
        <w:rPr>
          <w:rFonts w:ascii="Times-Roman" w:eastAsiaTheme="minorHAnsi" w:hAnsi="Times-Roman" w:cs="Times-Roman"/>
          <w:sz w:val="24"/>
        </w:rPr>
        <w:tab/>
      </w:r>
    </w:p>
    <w:p w:rsidR="00B3349C" w:rsidRPr="00BF2096" w:rsidRDefault="00B3349C" w:rsidP="00B3349C">
      <w:pPr>
        <w:pStyle w:val="Header"/>
      </w:pPr>
      <w:r w:rsidRPr="00BF2096">
        <w:tab/>
      </w:r>
      <w:r w:rsidRPr="00BF2096">
        <w:tab/>
      </w:r>
      <w:r w:rsidRPr="00BF2096">
        <w:tab/>
      </w: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Box Elder County Redevelopment Agency (RDA) Fund</w:t>
      </w:r>
      <w:r w:rsidRPr="00B322C7">
        <w:rPr>
          <w:rFonts w:ascii="Times-Roman" w:eastAsiaTheme="minorHAnsi" w:hAnsi="Times-Roman" w:cs="Times-Roman"/>
          <w:sz w:val="24"/>
        </w:rPr>
        <w:t xml:space="preserve"> ---The RDA Fund accounts for related revenues and expenditures of the various Redevelopment Areas in the County (Ag Business Park, P&amp;G, Plymouth – Great Basin, and Washakie)</w:t>
      </w:r>
    </w:p>
    <w:p w:rsidR="00B3349C" w:rsidRDefault="00B3349C" w:rsidP="00B3349C">
      <w:pPr>
        <w:pStyle w:val="Header"/>
        <w:rPr>
          <w:rFonts w:ascii="Times-Roman" w:eastAsiaTheme="minorHAnsi" w:hAnsi="Times-Roman" w:cs="Times-Roman"/>
          <w:sz w:val="24"/>
        </w:rPr>
      </w:pPr>
    </w:p>
    <w:p w:rsidR="00B3349C" w:rsidRDefault="00B3349C" w:rsidP="00B3349C">
      <w:pPr>
        <w:pStyle w:val="Header"/>
        <w:rPr>
          <w:rFonts w:ascii="Times-Roman" w:eastAsiaTheme="minorHAnsi" w:hAnsi="Times-Roman" w:cs="Times-Roman"/>
          <w:sz w:val="24"/>
        </w:rPr>
      </w:pPr>
      <w:r>
        <w:rPr>
          <w:rFonts w:ascii="Times-Roman" w:eastAsiaTheme="minorHAnsi" w:hAnsi="Times-Roman" w:cs="Times-Roman"/>
          <w:b/>
          <w:sz w:val="24"/>
        </w:rPr>
        <w:t>Landfill Fund</w:t>
      </w:r>
      <w:r w:rsidRPr="00B322C7">
        <w:rPr>
          <w:rFonts w:ascii="Times-Roman" w:eastAsiaTheme="minorHAnsi" w:hAnsi="Times-Roman" w:cs="Times-Roman"/>
          <w:sz w:val="24"/>
        </w:rPr>
        <w:t xml:space="preserve">---The </w:t>
      </w:r>
      <w:r>
        <w:rPr>
          <w:rFonts w:ascii="Times-Roman" w:eastAsiaTheme="minorHAnsi" w:hAnsi="Times-Roman" w:cs="Times-Roman"/>
          <w:sz w:val="24"/>
        </w:rPr>
        <w:t>Landfill</w:t>
      </w:r>
      <w:r w:rsidRPr="00B322C7">
        <w:rPr>
          <w:rFonts w:ascii="Times-Roman" w:eastAsiaTheme="minorHAnsi" w:hAnsi="Times-Roman" w:cs="Times-Roman"/>
          <w:sz w:val="24"/>
        </w:rPr>
        <w:t xml:space="preserve"> Fund is used to account for the operations of the County's landfill operation</w:t>
      </w:r>
      <w:r>
        <w:rPr>
          <w:rFonts w:ascii="Times-Roman" w:eastAsiaTheme="minorHAnsi" w:hAnsi="Times-Roman" w:cs="Times-Roman"/>
          <w:sz w:val="24"/>
        </w:rPr>
        <w:t xml:space="preserve">. It is the only enterprise fund of the County. </w:t>
      </w:r>
    </w:p>
    <w:p w:rsidR="00D6433A" w:rsidRDefault="0030469A" w:rsidP="00D6433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I</w:t>
      </w:r>
      <w:r w:rsidR="00D6433A" w:rsidRPr="00024E0B">
        <w:rPr>
          <w:rFonts w:ascii="Times-Roman" w:hAnsi="Times-Roman" w:cs="Times-Roman"/>
          <w:sz w:val="24"/>
          <w:szCs w:val="24"/>
        </w:rPr>
        <w:t>n accordance with Utah Code 17-36-10 (5</w:t>
      </w:r>
      <w:proofErr w:type="gramStart"/>
      <w:r w:rsidR="00D6433A" w:rsidRPr="00024E0B">
        <w:rPr>
          <w:rFonts w:ascii="Times-Roman" w:hAnsi="Times-Roman" w:cs="Times-Roman"/>
          <w:sz w:val="24"/>
          <w:szCs w:val="24"/>
        </w:rPr>
        <w:t>)(</w:t>
      </w:r>
      <w:proofErr w:type="gramEnd"/>
      <w:r w:rsidR="00D6433A" w:rsidRPr="00024E0B">
        <w:rPr>
          <w:rFonts w:ascii="Times-Roman" w:hAnsi="Times-Roman" w:cs="Times-Roman"/>
          <w:sz w:val="24"/>
          <w:szCs w:val="24"/>
        </w:rPr>
        <w:t xml:space="preserve">b) this budget message highlights some changes in expenses and revenues from the </w:t>
      </w:r>
      <w:r w:rsidR="00631461">
        <w:rPr>
          <w:rFonts w:ascii="Times-Roman" w:hAnsi="Times-Roman" w:cs="Times-Roman"/>
          <w:sz w:val="24"/>
          <w:szCs w:val="24"/>
        </w:rPr>
        <w:t xml:space="preserve">current </w:t>
      </w:r>
      <w:r w:rsidR="00D6433A" w:rsidRPr="00024E0B">
        <w:rPr>
          <w:rFonts w:ascii="Times-Roman" w:hAnsi="Times-Roman" w:cs="Times-Roman"/>
          <w:sz w:val="24"/>
          <w:szCs w:val="24"/>
        </w:rPr>
        <w:t>201</w:t>
      </w:r>
      <w:r w:rsidR="00600D96">
        <w:rPr>
          <w:rFonts w:ascii="Times-Roman" w:hAnsi="Times-Roman" w:cs="Times-Roman"/>
          <w:sz w:val="24"/>
          <w:szCs w:val="24"/>
        </w:rPr>
        <w:t>6</w:t>
      </w:r>
      <w:r w:rsidR="00631461">
        <w:rPr>
          <w:rFonts w:ascii="Times-Roman" w:hAnsi="Times-Roman" w:cs="Times-Roman"/>
          <w:sz w:val="24"/>
          <w:szCs w:val="24"/>
        </w:rPr>
        <w:t xml:space="preserve"> budget</w:t>
      </w:r>
      <w:r w:rsidR="00D6433A" w:rsidRPr="00024E0B">
        <w:rPr>
          <w:rFonts w:ascii="Times-Roman" w:hAnsi="Times-Roman" w:cs="Times-Roman"/>
          <w:sz w:val="24"/>
          <w:szCs w:val="24"/>
        </w:rPr>
        <w:t xml:space="preserve"> to budgeted 201</w:t>
      </w:r>
      <w:r w:rsidR="00600D96">
        <w:rPr>
          <w:rFonts w:ascii="Times-Roman" w:hAnsi="Times-Roman" w:cs="Times-Roman"/>
          <w:sz w:val="24"/>
          <w:szCs w:val="24"/>
        </w:rPr>
        <w:t>7</w:t>
      </w:r>
      <w:r w:rsidR="00D6433A" w:rsidRPr="00024E0B">
        <w:rPr>
          <w:rFonts w:ascii="Times-Roman" w:hAnsi="Times-Roman" w:cs="Times-Roman"/>
          <w:sz w:val="24"/>
          <w:szCs w:val="24"/>
        </w:rPr>
        <w:t xml:space="preserve"> amounts.</w:t>
      </w:r>
    </w:p>
    <w:p w:rsidR="00600D96" w:rsidRPr="00024E0B" w:rsidRDefault="00600D96" w:rsidP="00D6433A">
      <w:pPr>
        <w:autoSpaceDE w:val="0"/>
        <w:autoSpaceDN w:val="0"/>
        <w:adjustRightInd w:val="0"/>
        <w:spacing w:after="0" w:line="240" w:lineRule="auto"/>
        <w:rPr>
          <w:rFonts w:ascii="Times-Roman" w:hAnsi="Times-Roman" w:cs="Times-Roman"/>
          <w:sz w:val="24"/>
          <w:szCs w:val="24"/>
        </w:rPr>
      </w:pPr>
    </w:p>
    <w:p w:rsidR="00464EE4" w:rsidRPr="00564AF7" w:rsidRDefault="00464EE4" w:rsidP="00464EE4">
      <w:pPr>
        <w:autoSpaceDE w:val="0"/>
        <w:autoSpaceDN w:val="0"/>
        <w:adjustRightInd w:val="0"/>
        <w:spacing w:after="0" w:line="240" w:lineRule="auto"/>
        <w:rPr>
          <w:rFonts w:ascii="Times-Roman" w:hAnsi="Times-Roman" w:cs="Times-Roman"/>
          <w:b/>
          <w:sz w:val="24"/>
          <w:szCs w:val="24"/>
          <w:u w:val="single"/>
        </w:rPr>
      </w:pPr>
      <w:r w:rsidRPr="00564AF7">
        <w:rPr>
          <w:rFonts w:ascii="Times-Roman" w:hAnsi="Times-Roman" w:cs="Times-Roman"/>
          <w:b/>
          <w:sz w:val="24"/>
          <w:szCs w:val="24"/>
          <w:u w:val="single"/>
        </w:rPr>
        <w:t>Changes in expenditures/revenues from 201</w:t>
      </w:r>
      <w:r w:rsidR="00600D96" w:rsidRPr="00564AF7">
        <w:rPr>
          <w:rFonts w:ascii="Times-Roman" w:hAnsi="Times-Roman" w:cs="Times-Roman"/>
          <w:b/>
          <w:sz w:val="24"/>
          <w:szCs w:val="24"/>
          <w:u w:val="single"/>
        </w:rPr>
        <w:t>6 to 2017</w:t>
      </w:r>
      <w:r w:rsidRPr="00564AF7">
        <w:rPr>
          <w:rFonts w:ascii="Times-Roman" w:hAnsi="Times-Roman" w:cs="Times-Roman"/>
          <w:b/>
          <w:sz w:val="24"/>
          <w:szCs w:val="24"/>
          <w:u w:val="single"/>
        </w:rPr>
        <w:t xml:space="preserve"> budgets:</w:t>
      </w:r>
    </w:p>
    <w:p w:rsidR="00564AF7" w:rsidRPr="00564AF7" w:rsidRDefault="00564AF7" w:rsidP="00464EE4">
      <w:pPr>
        <w:autoSpaceDE w:val="0"/>
        <w:autoSpaceDN w:val="0"/>
        <w:adjustRightInd w:val="0"/>
        <w:spacing w:after="0" w:line="240" w:lineRule="auto"/>
        <w:rPr>
          <w:rFonts w:ascii="Times-Roman" w:hAnsi="Times-Roman" w:cs="Times-Roman"/>
          <w:b/>
          <w:sz w:val="24"/>
          <w:szCs w:val="24"/>
          <w:u w:val="single"/>
        </w:rPr>
      </w:pPr>
    </w:p>
    <w:p w:rsidR="00D6433A" w:rsidRPr="00564AF7" w:rsidRDefault="00132303" w:rsidP="00D6433A">
      <w:pPr>
        <w:autoSpaceDE w:val="0"/>
        <w:autoSpaceDN w:val="0"/>
        <w:adjustRightInd w:val="0"/>
        <w:spacing w:after="0" w:line="240" w:lineRule="auto"/>
        <w:rPr>
          <w:rFonts w:ascii="Times-Roman" w:hAnsi="Times-Roman" w:cs="Times-Roman"/>
          <w:sz w:val="20"/>
          <w:szCs w:val="20"/>
        </w:rPr>
      </w:pPr>
      <w:r w:rsidRPr="00132303">
        <w:drawing>
          <wp:inline distT="0" distB="0" distL="0" distR="0">
            <wp:extent cx="56388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2495550"/>
                    </a:xfrm>
                    <a:prstGeom prst="rect">
                      <a:avLst/>
                    </a:prstGeom>
                    <a:noFill/>
                    <a:ln>
                      <a:noFill/>
                    </a:ln>
                  </pic:spPr>
                </pic:pic>
              </a:graphicData>
            </a:graphic>
          </wp:inline>
        </w:drawing>
      </w:r>
    </w:p>
    <w:p w:rsidR="00464EE4" w:rsidRPr="00564AF7" w:rsidRDefault="00464EE4" w:rsidP="00663BE8">
      <w:pPr>
        <w:autoSpaceDE w:val="0"/>
        <w:autoSpaceDN w:val="0"/>
        <w:adjustRightInd w:val="0"/>
        <w:spacing w:after="0" w:line="240" w:lineRule="auto"/>
        <w:jc w:val="center"/>
        <w:rPr>
          <w:rFonts w:ascii="Times-Roman" w:hAnsi="Times-Roman" w:cs="Times-Roman"/>
          <w:sz w:val="20"/>
          <w:szCs w:val="20"/>
        </w:rPr>
      </w:pPr>
    </w:p>
    <w:p w:rsidR="00464EE4" w:rsidRPr="00564AF7" w:rsidRDefault="00464EE4" w:rsidP="00D6433A">
      <w:pPr>
        <w:autoSpaceDE w:val="0"/>
        <w:autoSpaceDN w:val="0"/>
        <w:adjustRightInd w:val="0"/>
        <w:spacing w:after="0" w:line="240" w:lineRule="auto"/>
        <w:rPr>
          <w:rFonts w:ascii="Times-Roman" w:hAnsi="Times-Roman" w:cs="Times-Roman"/>
          <w:sz w:val="20"/>
          <w:szCs w:val="20"/>
        </w:rPr>
      </w:pPr>
      <w:bookmarkStart w:id="0" w:name="_GoBack"/>
    </w:p>
    <w:bookmarkEnd w:id="0"/>
    <w:p w:rsidR="00D6433A" w:rsidRPr="00564AF7" w:rsidRDefault="007E10ED" w:rsidP="00D6433A">
      <w:pPr>
        <w:autoSpaceDE w:val="0"/>
        <w:autoSpaceDN w:val="0"/>
        <w:adjustRightInd w:val="0"/>
        <w:spacing w:after="0" w:line="240" w:lineRule="auto"/>
        <w:rPr>
          <w:rFonts w:ascii="Times-Roman" w:hAnsi="Times-Roman" w:cs="Times-Roman"/>
          <w:b/>
          <w:sz w:val="24"/>
          <w:szCs w:val="24"/>
          <w:u w:val="single"/>
        </w:rPr>
      </w:pPr>
      <w:r w:rsidRPr="00564AF7">
        <w:rPr>
          <w:rFonts w:ascii="Times-Roman" w:hAnsi="Times-Roman" w:cs="Times-Roman"/>
          <w:b/>
          <w:sz w:val="24"/>
          <w:szCs w:val="24"/>
          <w:u w:val="single"/>
        </w:rPr>
        <w:t>Personnel related costs</w:t>
      </w:r>
      <w:r w:rsidR="00D6433A" w:rsidRPr="00564AF7">
        <w:rPr>
          <w:rFonts w:ascii="Times-Roman" w:hAnsi="Times-Roman" w:cs="Times-Roman"/>
          <w:b/>
          <w:sz w:val="24"/>
          <w:szCs w:val="24"/>
          <w:u w:val="single"/>
        </w:rPr>
        <w:t>:</w:t>
      </w:r>
    </w:p>
    <w:p w:rsidR="00CC598A" w:rsidRPr="00564AF7" w:rsidRDefault="00CC598A" w:rsidP="00D6433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564AF7">
        <w:rPr>
          <w:rFonts w:ascii="Times-Roman" w:hAnsi="Times-Roman" w:cs="Times-Roman"/>
          <w:sz w:val="24"/>
          <w:szCs w:val="24"/>
        </w:rPr>
        <w:t xml:space="preserve">Cost of Living Adjustment = </w:t>
      </w:r>
      <w:r w:rsidR="00564AF7" w:rsidRPr="00564AF7">
        <w:rPr>
          <w:rFonts w:ascii="Times-Roman" w:hAnsi="Times-Roman" w:cs="Times-Roman"/>
          <w:sz w:val="24"/>
          <w:szCs w:val="24"/>
        </w:rPr>
        <w:t>1</w:t>
      </w:r>
      <w:r w:rsidRPr="00564AF7">
        <w:rPr>
          <w:rFonts w:ascii="Times-Roman" w:hAnsi="Times-Roman" w:cs="Times-Roman"/>
          <w:sz w:val="24"/>
          <w:szCs w:val="24"/>
        </w:rPr>
        <w:t>.0</w:t>
      </w:r>
      <w:r w:rsidR="00D6433A" w:rsidRPr="00564AF7">
        <w:rPr>
          <w:rFonts w:ascii="Times-Roman" w:hAnsi="Times-Roman" w:cs="Times-Roman"/>
          <w:sz w:val="24"/>
          <w:szCs w:val="24"/>
        </w:rPr>
        <w:t>%</w:t>
      </w:r>
      <w:r w:rsidR="003E37A9" w:rsidRPr="00564AF7">
        <w:rPr>
          <w:rFonts w:ascii="Times-Roman" w:hAnsi="Times-Roman" w:cs="Times-Roman"/>
          <w:sz w:val="24"/>
          <w:szCs w:val="24"/>
        </w:rPr>
        <w:t xml:space="preserve"> </w:t>
      </w:r>
    </w:p>
    <w:p w:rsidR="003E37A9" w:rsidRPr="00564AF7" w:rsidRDefault="003E37A9" w:rsidP="00D6433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564AF7">
        <w:rPr>
          <w:rFonts w:ascii="Times-Roman" w:hAnsi="Times-Roman" w:cs="Times-Roman"/>
          <w:sz w:val="24"/>
          <w:szCs w:val="24"/>
        </w:rPr>
        <w:t xml:space="preserve">Health Insurance = </w:t>
      </w:r>
      <w:r w:rsidR="00564AF7" w:rsidRPr="00564AF7">
        <w:rPr>
          <w:rFonts w:ascii="Times-Roman" w:hAnsi="Times-Roman" w:cs="Times-Roman"/>
          <w:sz w:val="24"/>
          <w:szCs w:val="24"/>
        </w:rPr>
        <w:t>8.1</w:t>
      </w:r>
      <w:r w:rsidRPr="00564AF7">
        <w:rPr>
          <w:rFonts w:ascii="Times-Roman" w:hAnsi="Times-Roman" w:cs="Times-Roman"/>
          <w:sz w:val="24"/>
          <w:szCs w:val="24"/>
        </w:rPr>
        <w:t>% increase</w:t>
      </w:r>
    </w:p>
    <w:p w:rsidR="00564AF7" w:rsidRPr="00564AF7" w:rsidRDefault="00564AF7" w:rsidP="00D6433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564AF7">
        <w:rPr>
          <w:rFonts w:ascii="Times-Roman" w:hAnsi="Times-Roman" w:cs="Times-Roman"/>
          <w:sz w:val="24"/>
          <w:szCs w:val="24"/>
        </w:rPr>
        <w:t xml:space="preserve">Dental Insurance = 3.0% increase </w:t>
      </w:r>
    </w:p>
    <w:p w:rsidR="00681CE7" w:rsidRPr="00564AF7" w:rsidRDefault="00681CE7" w:rsidP="00600D96">
      <w:pPr>
        <w:pStyle w:val="ListParagraph"/>
        <w:numPr>
          <w:ilvl w:val="0"/>
          <w:numId w:val="7"/>
        </w:numPr>
        <w:autoSpaceDE w:val="0"/>
        <w:autoSpaceDN w:val="0"/>
        <w:adjustRightInd w:val="0"/>
        <w:spacing w:after="0" w:line="240" w:lineRule="auto"/>
        <w:rPr>
          <w:rFonts w:ascii="Times-Roman" w:hAnsi="Times-Roman" w:cs="Times-Roman"/>
          <w:sz w:val="24"/>
          <w:szCs w:val="24"/>
        </w:rPr>
      </w:pPr>
      <w:r w:rsidRPr="00564AF7">
        <w:rPr>
          <w:rFonts w:ascii="Times-Roman" w:hAnsi="Times-Roman" w:cs="Times-Roman"/>
          <w:sz w:val="24"/>
          <w:szCs w:val="24"/>
        </w:rPr>
        <w:t xml:space="preserve">Changes in </w:t>
      </w:r>
      <w:r w:rsidR="00600D96" w:rsidRPr="00564AF7">
        <w:rPr>
          <w:rFonts w:ascii="Times-Roman" w:hAnsi="Times-Roman" w:cs="Times-Roman"/>
          <w:sz w:val="24"/>
          <w:szCs w:val="24"/>
        </w:rPr>
        <w:t xml:space="preserve">pay for public safety </w:t>
      </w:r>
      <w:r w:rsidR="00564AF7" w:rsidRPr="00564AF7">
        <w:rPr>
          <w:rFonts w:ascii="Times-Roman" w:hAnsi="Times-Roman" w:cs="Times-Roman"/>
          <w:sz w:val="24"/>
          <w:szCs w:val="24"/>
        </w:rPr>
        <w:t>=</w:t>
      </w:r>
      <w:r w:rsidR="00600D96" w:rsidRPr="00564AF7">
        <w:rPr>
          <w:rFonts w:ascii="Times-Roman" w:hAnsi="Times-Roman" w:cs="Times-Roman"/>
          <w:sz w:val="24"/>
          <w:szCs w:val="24"/>
        </w:rPr>
        <w:t xml:space="preserve"> $250,000</w:t>
      </w:r>
    </w:p>
    <w:p w:rsidR="00681CE7" w:rsidRPr="00507AE1" w:rsidRDefault="00681CE7" w:rsidP="007E10ED">
      <w:pPr>
        <w:autoSpaceDE w:val="0"/>
        <w:autoSpaceDN w:val="0"/>
        <w:adjustRightInd w:val="0"/>
        <w:spacing w:after="0" w:line="240" w:lineRule="auto"/>
        <w:rPr>
          <w:rFonts w:ascii="Times-Roman" w:hAnsi="Times-Roman" w:cs="Times-Roman"/>
          <w:b/>
          <w:sz w:val="24"/>
          <w:szCs w:val="24"/>
          <w:u w:val="single"/>
        </w:rPr>
      </w:pPr>
    </w:p>
    <w:p w:rsidR="007E10ED" w:rsidRPr="00507AE1" w:rsidRDefault="007E10ED" w:rsidP="007E10ED">
      <w:pPr>
        <w:autoSpaceDE w:val="0"/>
        <w:autoSpaceDN w:val="0"/>
        <w:adjustRightInd w:val="0"/>
        <w:spacing w:after="0" w:line="240" w:lineRule="auto"/>
        <w:rPr>
          <w:rFonts w:ascii="Times-Roman" w:hAnsi="Times-Roman" w:cs="Times-Roman"/>
          <w:b/>
          <w:sz w:val="24"/>
          <w:szCs w:val="24"/>
          <w:u w:val="single"/>
        </w:rPr>
      </w:pPr>
      <w:r w:rsidRPr="00507AE1">
        <w:rPr>
          <w:rFonts w:ascii="Times-Roman" w:hAnsi="Times-Roman" w:cs="Times-Roman"/>
          <w:b/>
          <w:sz w:val="24"/>
          <w:szCs w:val="24"/>
          <w:u w:val="single"/>
        </w:rPr>
        <w:t>Property Tax Revenues</w:t>
      </w:r>
    </w:p>
    <w:p w:rsidR="00CC598A" w:rsidRDefault="00CC598A" w:rsidP="00D6433A">
      <w:pPr>
        <w:pStyle w:val="ListParagraph"/>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Property Tax Rates:</w:t>
      </w:r>
    </w:p>
    <w:p w:rsidR="00CC598A" w:rsidRDefault="00CC598A" w:rsidP="00CC598A">
      <w:pPr>
        <w:pStyle w:val="ListParagraph"/>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t>201</w:t>
      </w:r>
      <w:r w:rsidR="00600D96">
        <w:rPr>
          <w:rFonts w:ascii="Times-Roman" w:hAnsi="Times-Roman" w:cs="Times-Roman"/>
          <w:sz w:val="24"/>
          <w:szCs w:val="24"/>
        </w:rPr>
        <w:t>6:  0.002072 - $7.3</w:t>
      </w:r>
      <w:r>
        <w:rPr>
          <w:rFonts w:ascii="Times-Roman" w:hAnsi="Times-Roman" w:cs="Times-Roman"/>
          <w:sz w:val="24"/>
          <w:szCs w:val="24"/>
        </w:rPr>
        <w:t xml:space="preserve">M </w:t>
      </w:r>
    </w:p>
    <w:p w:rsidR="00507AE1" w:rsidRDefault="00507AE1" w:rsidP="00D6433A">
      <w:pPr>
        <w:autoSpaceDE w:val="0"/>
        <w:autoSpaceDN w:val="0"/>
        <w:adjustRightInd w:val="0"/>
        <w:spacing w:after="0" w:line="240" w:lineRule="auto"/>
        <w:rPr>
          <w:rFonts w:ascii="Times-Roman" w:hAnsi="Times-Roman" w:cs="Times-Roman"/>
          <w:sz w:val="20"/>
          <w:szCs w:val="20"/>
          <w:highlight w:val="yellow"/>
        </w:rPr>
      </w:pPr>
    </w:p>
    <w:p w:rsidR="00600D96" w:rsidRPr="00564AF7" w:rsidRDefault="00564AF7" w:rsidP="00D6433A">
      <w:pPr>
        <w:autoSpaceDE w:val="0"/>
        <w:autoSpaceDN w:val="0"/>
        <w:adjustRightInd w:val="0"/>
        <w:spacing w:after="0" w:line="240" w:lineRule="auto"/>
        <w:rPr>
          <w:rFonts w:ascii="Times-Roman" w:hAnsi="Times-Roman" w:cs="Times-Roman"/>
          <w:b/>
          <w:sz w:val="24"/>
          <w:szCs w:val="24"/>
          <w:u w:val="single"/>
        </w:rPr>
      </w:pPr>
      <w:r w:rsidRPr="00564AF7">
        <w:rPr>
          <w:rFonts w:ascii="Times-Roman" w:hAnsi="Times-Roman" w:cs="Times-Roman"/>
          <w:b/>
          <w:sz w:val="24"/>
          <w:szCs w:val="24"/>
          <w:u w:val="single"/>
        </w:rPr>
        <w:t>Municipal Services – Proposed Tax Increase</w:t>
      </w:r>
    </w:p>
    <w:p w:rsidR="00564AF7" w:rsidRPr="00564AF7" w:rsidRDefault="00564AF7" w:rsidP="00564AF7">
      <w:pPr>
        <w:autoSpaceDE w:val="0"/>
        <w:autoSpaceDN w:val="0"/>
        <w:adjustRightInd w:val="0"/>
        <w:spacing w:after="0" w:line="240" w:lineRule="auto"/>
        <w:rPr>
          <w:rFonts w:ascii="Times-Roman" w:hAnsi="Times-Roman" w:cs="Times-Roman"/>
          <w:sz w:val="24"/>
          <w:szCs w:val="24"/>
        </w:rPr>
      </w:pPr>
      <w:r w:rsidRPr="00564AF7">
        <w:rPr>
          <w:rFonts w:ascii="Times-Roman" w:hAnsi="Times-Roman" w:cs="Times-Roman"/>
          <w:sz w:val="24"/>
          <w:szCs w:val="24"/>
        </w:rPr>
        <w:t>Municipal services funds (MSFs) are statutorily created tools intended to account for county services and funding. The goal is to align services with funding so the benefit goes to the person paying for it. In Utah, counties are statutorily permitted to “provide municipal-type services to areas of the county outside the limits of cities and towns without providing the same services to cities or towns.”</w:t>
      </w:r>
    </w:p>
    <w:p w:rsidR="00564AF7" w:rsidRPr="00564AF7" w:rsidRDefault="00564AF7" w:rsidP="00564AF7">
      <w:pPr>
        <w:autoSpaceDE w:val="0"/>
        <w:autoSpaceDN w:val="0"/>
        <w:adjustRightInd w:val="0"/>
        <w:spacing w:after="0" w:line="240" w:lineRule="auto"/>
        <w:rPr>
          <w:rFonts w:ascii="Times-Roman" w:hAnsi="Times-Roman" w:cs="Times-Roman"/>
          <w:sz w:val="24"/>
          <w:szCs w:val="24"/>
        </w:rPr>
      </w:pPr>
    </w:p>
    <w:p w:rsidR="00564AF7" w:rsidRPr="00564AF7" w:rsidRDefault="00564AF7" w:rsidP="00564AF7">
      <w:pPr>
        <w:autoSpaceDE w:val="0"/>
        <w:autoSpaceDN w:val="0"/>
        <w:adjustRightInd w:val="0"/>
        <w:spacing w:after="0" w:line="240" w:lineRule="auto"/>
        <w:rPr>
          <w:rFonts w:ascii="Times-Roman" w:hAnsi="Times-Roman" w:cs="Times-Roman"/>
          <w:sz w:val="24"/>
          <w:szCs w:val="24"/>
        </w:rPr>
      </w:pPr>
      <w:r w:rsidRPr="00564AF7">
        <w:rPr>
          <w:rFonts w:ascii="Times-Roman" w:hAnsi="Times-Roman" w:cs="Times-Roman"/>
          <w:sz w:val="24"/>
          <w:szCs w:val="24"/>
        </w:rPr>
        <w:t>Box Elder County’s MSF services community development, economic development, building inspections, business licenses, fire protection, emergency management services, weed control, road maintenance, and police protection. USC § 17-34-1(2) provides that a county may 1) levy a property tax, 2) charge a fee for service, or 3) provide funds to a municipal service district in accordance with 17B-2a-1109.</w:t>
      </w:r>
    </w:p>
    <w:p w:rsidR="00564AF7" w:rsidRPr="00564AF7" w:rsidRDefault="00564AF7" w:rsidP="00564AF7">
      <w:pPr>
        <w:autoSpaceDE w:val="0"/>
        <w:autoSpaceDN w:val="0"/>
        <w:adjustRightInd w:val="0"/>
        <w:spacing w:after="0" w:line="240" w:lineRule="auto"/>
        <w:rPr>
          <w:rFonts w:ascii="Times-Roman" w:hAnsi="Times-Roman" w:cs="Times-Roman"/>
          <w:sz w:val="24"/>
          <w:szCs w:val="24"/>
        </w:rPr>
      </w:pPr>
    </w:p>
    <w:p w:rsidR="00564AF7" w:rsidRPr="00564AF7" w:rsidRDefault="00564AF7" w:rsidP="00564AF7">
      <w:pPr>
        <w:autoSpaceDE w:val="0"/>
        <w:autoSpaceDN w:val="0"/>
        <w:adjustRightInd w:val="0"/>
        <w:spacing w:after="0" w:line="240" w:lineRule="auto"/>
        <w:rPr>
          <w:rFonts w:ascii="Times-Roman" w:hAnsi="Times-Roman" w:cs="Times-Roman"/>
          <w:sz w:val="24"/>
          <w:szCs w:val="24"/>
        </w:rPr>
      </w:pPr>
      <w:r w:rsidRPr="00564AF7">
        <w:rPr>
          <w:rFonts w:ascii="Times-Roman" w:hAnsi="Times-Roman" w:cs="Times-Roman"/>
          <w:sz w:val="24"/>
          <w:szCs w:val="24"/>
        </w:rPr>
        <w:lastRenderedPageBreak/>
        <w:t>The County retained Lewis Young Robertson &amp; Burningham to conduct a study on the Municipal Service Fund. They found a gap exists between the cost of service being provided and the amount being paid by unincorporated residents for the municipal-type services they are receiving from the County.</w:t>
      </w:r>
    </w:p>
    <w:p w:rsidR="00564AF7" w:rsidRPr="00564AF7" w:rsidRDefault="00564AF7" w:rsidP="00564AF7">
      <w:pPr>
        <w:autoSpaceDE w:val="0"/>
        <w:autoSpaceDN w:val="0"/>
        <w:adjustRightInd w:val="0"/>
        <w:spacing w:after="0" w:line="240" w:lineRule="auto"/>
        <w:rPr>
          <w:rFonts w:ascii="Times-Roman" w:hAnsi="Times-Roman" w:cs="Times-Roman"/>
          <w:sz w:val="24"/>
          <w:szCs w:val="24"/>
        </w:rPr>
      </w:pPr>
    </w:p>
    <w:p w:rsidR="00B3349C" w:rsidRDefault="00564AF7" w:rsidP="00564AF7">
      <w:pPr>
        <w:autoSpaceDE w:val="0"/>
        <w:autoSpaceDN w:val="0"/>
        <w:adjustRightInd w:val="0"/>
        <w:spacing w:after="0" w:line="240" w:lineRule="auto"/>
        <w:rPr>
          <w:rFonts w:ascii="Times-Roman" w:hAnsi="Times-Roman" w:cs="Times-Roman"/>
          <w:sz w:val="24"/>
          <w:szCs w:val="24"/>
        </w:rPr>
      </w:pPr>
      <w:r w:rsidRPr="00564AF7">
        <w:rPr>
          <w:rFonts w:ascii="Times-Roman" w:hAnsi="Times-Roman" w:cs="Times-Roman"/>
          <w:sz w:val="24"/>
          <w:szCs w:val="24"/>
        </w:rPr>
        <w:t xml:space="preserve">The Box Elder County Commission has decided to proceed with the process to potentially increase taxes on unincorporated county residents to pay for the services they are receiving. </w:t>
      </w:r>
      <w:r>
        <w:rPr>
          <w:rFonts w:ascii="Times-Roman" w:hAnsi="Times-Roman" w:cs="Times-Roman"/>
          <w:sz w:val="24"/>
          <w:szCs w:val="24"/>
        </w:rPr>
        <w:t>The totally amount budgeted to collect from this ne</w:t>
      </w:r>
      <w:r w:rsidR="00093EA9">
        <w:rPr>
          <w:rFonts w:ascii="Times-Roman" w:hAnsi="Times-Roman" w:cs="Times-Roman"/>
          <w:sz w:val="24"/>
          <w:szCs w:val="24"/>
        </w:rPr>
        <w:t>w</w:t>
      </w:r>
      <w:r>
        <w:rPr>
          <w:rFonts w:ascii="Times-Roman" w:hAnsi="Times-Roman" w:cs="Times-Roman"/>
          <w:sz w:val="24"/>
          <w:szCs w:val="24"/>
        </w:rPr>
        <w:t xml:space="preserve"> tax is $750,000</w:t>
      </w:r>
    </w:p>
    <w:p w:rsidR="00564AF7" w:rsidRDefault="00564AF7" w:rsidP="00564AF7">
      <w:pPr>
        <w:autoSpaceDE w:val="0"/>
        <w:autoSpaceDN w:val="0"/>
        <w:adjustRightInd w:val="0"/>
        <w:spacing w:after="0" w:line="240" w:lineRule="auto"/>
        <w:rPr>
          <w:rFonts w:ascii="Times-Roman" w:hAnsi="Times-Roman" w:cs="Times-Roman"/>
          <w:sz w:val="24"/>
          <w:szCs w:val="24"/>
        </w:rPr>
      </w:pPr>
    </w:p>
    <w:p w:rsidR="00564AF7" w:rsidRPr="00564AF7" w:rsidRDefault="00564AF7" w:rsidP="00564AF7">
      <w:pPr>
        <w:spacing w:after="0" w:line="240" w:lineRule="auto"/>
        <w:rPr>
          <w:rFonts w:ascii="Times-Roman" w:hAnsi="Times-Roman" w:cs="Times-Roman"/>
          <w:sz w:val="24"/>
          <w:szCs w:val="24"/>
        </w:rPr>
      </w:pPr>
      <w:r w:rsidRPr="00564AF7">
        <w:rPr>
          <w:rFonts w:ascii="Times-Roman" w:hAnsi="Times-Roman" w:cs="Times-Roman"/>
          <w:sz w:val="24"/>
          <w:szCs w:val="24"/>
        </w:rPr>
        <w:t xml:space="preserve">The Municipal Services tax on a $180,000 residence would </w:t>
      </w:r>
      <w:r>
        <w:rPr>
          <w:rFonts w:ascii="Times-Roman" w:hAnsi="Times-Roman" w:cs="Times-Roman"/>
          <w:sz w:val="24"/>
          <w:szCs w:val="24"/>
        </w:rPr>
        <w:t>be $44.35 per year and a</w:t>
      </w:r>
    </w:p>
    <w:p w:rsidR="00564AF7" w:rsidRPr="00564AF7" w:rsidRDefault="00564AF7" w:rsidP="00564AF7">
      <w:pPr>
        <w:spacing w:after="0" w:line="240" w:lineRule="auto"/>
        <w:rPr>
          <w:rFonts w:ascii="Times-Roman" w:hAnsi="Times-Roman" w:cs="Times-Roman"/>
          <w:sz w:val="24"/>
          <w:szCs w:val="24"/>
        </w:rPr>
      </w:pPr>
      <w:r w:rsidRPr="00564AF7">
        <w:rPr>
          <w:rFonts w:ascii="Times-Roman" w:hAnsi="Times-Roman" w:cs="Times-Roman"/>
          <w:sz w:val="24"/>
          <w:szCs w:val="24"/>
        </w:rPr>
        <w:t xml:space="preserve">$180,000 business would </w:t>
      </w:r>
      <w:r>
        <w:rPr>
          <w:rFonts w:ascii="Times-Roman" w:hAnsi="Times-Roman" w:cs="Times-Roman"/>
          <w:sz w:val="24"/>
          <w:szCs w:val="24"/>
        </w:rPr>
        <w:t xml:space="preserve">pay </w:t>
      </w:r>
      <w:r w:rsidRPr="00564AF7">
        <w:rPr>
          <w:rFonts w:ascii="Times-Roman" w:hAnsi="Times-Roman" w:cs="Times-Roman"/>
          <w:sz w:val="24"/>
          <w:szCs w:val="24"/>
        </w:rPr>
        <w:t>$80.64 per year</w:t>
      </w:r>
    </w:p>
    <w:p w:rsidR="00B3349C" w:rsidRDefault="00B3349C" w:rsidP="00681CE7">
      <w:pPr>
        <w:autoSpaceDE w:val="0"/>
        <w:autoSpaceDN w:val="0"/>
        <w:adjustRightInd w:val="0"/>
        <w:spacing w:after="0" w:line="240" w:lineRule="auto"/>
        <w:rPr>
          <w:rFonts w:ascii="Times-Roman" w:hAnsi="Times-Roman" w:cs="Times-Roman"/>
          <w:b/>
          <w:sz w:val="24"/>
          <w:szCs w:val="24"/>
          <w:u w:val="single"/>
        </w:rPr>
      </w:pPr>
    </w:p>
    <w:p w:rsidR="00681CE7" w:rsidRPr="00507AE1" w:rsidRDefault="00681CE7" w:rsidP="00681CE7">
      <w:pPr>
        <w:autoSpaceDE w:val="0"/>
        <w:autoSpaceDN w:val="0"/>
        <w:adjustRightInd w:val="0"/>
        <w:spacing w:after="0" w:line="240" w:lineRule="auto"/>
        <w:rPr>
          <w:rFonts w:ascii="Times-Roman" w:hAnsi="Times-Roman" w:cs="Times-Roman"/>
          <w:b/>
          <w:sz w:val="24"/>
          <w:szCs w:val="24"/>
          <w:u w:val="single"/>
        </w:rPr>
      </w:pPr>
      <w:r w:rsidRPr="00507AE1">
        <w:rPr>
          <w:rFonts w:ascii="Times-Roman" w:hAnsi="Times-Roman" w:cs="Times-Roman"/>
          <w:b/>
          <w:sz w:val="24"/>
          <w:szCs w:val="24"/>
          <w:u w:val="single"/>
        </w:rPr>
        <w:t>Fund Transfers</w:t>
      </w:r>
    </w:p>
    <w:p w:rsidR="00681CE7" w:rsidRDefault="00600D96" w:rsidP="00507AE1">
      <w:pPr>
        <w:pStyle w:val="ListParagraph"/>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w:t>
      </w:r>
      <w:r w:rsidR="00681CE7" w:rsidRPr="00507AE1">
        <w:rPr>
          <w:rFonts w:ascii="Times-Roman" w:hAnsi="Times-Roman" w:cs="Times-Roman"/>
          <w:sz w:val="24"/>
          <w:szCs w:val="24"/>
        </w:rPr>
        <w:t xml:space="preserve">he Justice Court Fund </w:t>
      </w:r>
      <w:r w:rsidR="00507AE1" w:rsidRPr="00507AE1">
        <w:rPr>
          <w:rFonts w:ascii="Times-Roman" w:hAnsi="Times-Roman" w:cs="Times-Roman"/>
          <w:sz w:val="24"/>
          <w:szCs w:val="24"/>
        </w:rPr>
        <w:t>transfer</w:t>
      </w:r>
      <w:r>
        <w:rPr>
          <w:rFonts w:ascii="Times-Roman" w:hAnsi="Times-Roman" w:cs="Times-Roman"/>
          <w:sz w:val="24"/>
          <w:szCs w:val="24"/>
        </w:rPr>
        <w:t>s $500,000</w:t>
      </w:r>
      <w:r w:rsidR="00507AE1" w:rsidRPr="00507AE1">
        <w:rPr>
          <w:rFonts w:ascii="Times-Roman" w:hAnsi="Times-Roman" w:cs="Times-Roman"/>
          <w:sz w:val="24"/>
          <w:szCs w:val="24"/>
        </w:rPr>
        <w:t xml:space="preserve"> to the </w:t>
      </w:r>
      <w:r>
        <w:rPr>
          <w:rFonts w:ascii="Times-Roman" w:hAnsi="Times-Roman" w:cs="Times-Roman"/>
          <w:sz w:val="24"/>
          <w:szCs w:val="24"/>
        </w:rPr>
        <w:t>General</w:t>
      </w:r>
      <w:r w:rsidR="00507AE1" w:rsidRPr="00507AE1">
        <w:rPr>
          <w:rFonts w:ascii="Times-Roman" w:hAnsi="Times-Roman" w:cs="Times-Roman"/>
          <w:sz w:val="24"/>
          <w:szCs w:val="24"/>
        </w:rPr>
        <w:t xml:space="preserve"> Fund.  This money is needed for ongoing operations of the County Jail.</w:t>
      </w: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00D96" w:rsidP="00663BE8">
      <w:pPr>
        <w:autoSpaceDE w:val="0"/>
        <w:autoSpaceDN w:val="0"/>
        <w:adjustRightInd w:val="0"/>
        <w:spacing w:after="0" w:line="240" w:lineRule="auto"/>
        <w:rPr>
          <w:rFonts w:ascii="Times-Roman" w:hAnsi="Times-Roman" w:cs="Times-Roman"/>
          <w:b/>
          <w:sz w:val="24"/>
          <w:szCs w:val="24"/>
          <w:u w:val="single"/>
        </w:rPr>
      </w:pPr>
      <w:r w:rsidRPr="00600D96">
        <w:rPr>
          <w:noProof/>
        </w:rPr>
        <w:drawing>
          <wp:anchor distT="0" distB="0" distL="114300" distR="114300" simplePos="0" relativeHeight="251658240" behindDoc="0" locked="0" layoutInCell="1" allowOverlap="1" wp14:anchorId="4206A5AF" wp14:editId="140EF821">
            <wp:simplePos x="0" y="0"/>
            <wp:positionH relativeFrom="margin">
              <wp:align>center</wp:align>
            </wp:positionH>
            <wp:positionV relativeFrom="paragraph">
              <wp:posOffset>203835</wp:posOffset>
            </wp:positionV>
            <wp:extent cx="7010400" cy="3855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0" cy="385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BE8" w:rsidRPr="00464EE4">
        <w:rPr>
          <w:rFonts w:ascii="Times-Roman" w:hAnsi="Times-Roman" w:cs="Times-Roman"/>
          <w:b/>
          <w:sz w:val="24"/>
          <w:szCs w:val="24"/>
          <w:u w:val="single"/>
        </w:rPr>
        <w:t>Capital Improvement Budget</w:t>
      </w: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B3349C" w:rsidRDefault="00B3349C"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600D96" w:rsidRDefault="00600D96" w:rsidP="00464EE4">
      <w:pPr>
        <w:autoSpaceDE w:val="0"/>
        <w:autoSpaceDN w:val="0"/>
        <w:adjustRightInd w:val="0"/>
        <w:spacing w:after="0" w:line="240" w:lineRule="auto"/>
        <w:rPr>
          <w:rFonts w:ascii="Times-Roman" w:hAnsi="Times-Roman" w:cs="Times-Roman"/>
          <w:b/>
          <w:sz w:val="24"/>
          <w:szCs w:val="24"/>
          <w:u w:val="single"/>
        </w:rPr>
      </w:pPr>
    </w:p>
    <w:p w:rsidR="00564AF7" w:rsidRDefault="00564AF7" w:rsidP="00464EE4">
      <w:pPr>
        <w:autoSpaceDE w:val="0"/>
        <w:autoSpaceDN w:val="0"/>
        <w:adjustRightInd w:val="0"/>
        <w:spacing w:after="0" w:line="240" w:lineRule="auto"/>
        <w:rPr>
          <w:rFonts w:ascii="Times-Roman" w:hAnsi="Times-Roman" w:cs="Times-Roman"/>
          <w:b/>
          <w:sz w:val="24"/>
          <w:szCs w:val="24"/>
          <w:u w:val="single"/>
        </w:rPr>
      </w:pPr>
    </w:p>
    <w:p w:rsidR="00564AF7" w:rsidRDefault="00564AF7" w:rsidP="00464EE4">
      <w:pPr>
        <w:autoSpaceDE w:val="0"/>
        <w:autoSpaceDN w:val="0"/>
        <w:adjustRightInd w:val="0"/>
        <w:spacing w:after="0" w:line="240" w:lineRule="auto"/>
        <w:rPr>
          <w:rFonts w:ascii="Times-Roman" w:hAnsi="Times-Roman" w:cs="Times-Roman"/>
          <w:b/>
          <w:sz w:val="24"/>
          <w:szCs w:val="24"/>
          <w:u w:val="single"/>
        </w:rPr>
      </w:pPr>
    </w:p>
    <w:p w:rsidR="00564AF7" w:rsidRDefault="00564AF7" w:rsidP="00464EE4">
      <w:pPr>
        <w:autoSpaceDE w:val="0"/>
        <w:autoSpaceDN w:val="0"/>
        <w:adjustRightInd w:val="0"/>
        <w:spacing w:after="0" w:line="240" w:lineRule="auto"/>
        <w:rPr>
          <w:rFonts w:ascii="Times-Roman" w:hAnsi="Times-Roman" w:cs="Times-Roman"/>
          <w:b/>
          <w:sz w:val="24"/>
          <w:szCs w:val="24"/>
          <w:u w:val="single"/>
        </w:rPr>
      </w:pPr>
    </w:p>
    <w:p w:rsidR="00564AF7" w:rsidRDefault="00564AF7" w:rsidP="00464EE4">
      <w:pPr>
        <w:autoSpaceDE w:val="0"/>
        <w:autoSpaceDN w:val="0"/>
        <w:adjustRightInd w:val="0"/>
        <w:spacing w:after="0" w:line="240" w:lineRule="auto"/>
        <w:rPr>
          <w:rFonts w:ascii="Times-Roman" w:hAnsi="Times-Roman" w:cs="Times-Roman"/>
          <w:b/>
          <w:sz w:val="24"/>
          <w:szCs w:val="24"/>
          <w:u w:val="single"/>
        </w:rPr>
      </w:pPr>
    </w:p>
    <w:p w:rsidR="00564AF7" w:rsidRDefault="00564AF7" w:rsidP="00464EE4">
      <w:pPr>
        <w:autoSpaceDE w:val="0"/>
        <w:autoSpaceDN w:val="0"/>
        <w:adjustRightInd w:val="0"/>
        <w:spacing w:after="0" w:line="240" w:lineRule="auto"/>
        <w:rPr>
          <w:rFonts w:ascii="Times-Roman" w:hAnsi="Times-Roman" w:cs="Times-Roman"/>
          <w:b/>
          <w:sz w:val="24"/>
          <w:szCs w:val="24"/>
          <w:u w:val="single"/>
        </w:rPr>
      </w:pPr>
    </w:p>
    <w:p w:rsidR="00464EE4" w:rsidRPr="005163DA" w:rsidRDefault="00464EE4" w:rsidP="00464EE4">
      <w:pPr>
        <w:autoSpaceDE w:val="0"/>
        <w:autoSpaceDN w:val="0"/>
        <w:adjustRightInd w:val="0"/>
        <w:spacing w:after="0" w:line="240" w:lineRule="auto"/>
        <w:rPr>
          <w:rFonts w:ascii="Times-Roman" w:hAnsi="Times-Roman" w:cs="Times-Roman"/>
          <w:b/>
          <w:sz w:val="24"/>
          <w:szCs w:val="24"/>
          <w:u w:val="single"/>
        </w:rPr>
      </w:pPr>
      <w:r w:rsidRPr="005163DA">
        <w:rPr>
          <w:rFonts w:ascii="Times-Roman" w:hAnsi="Times-Roman" w:cs="Times-Roman"/>
          <w:b/>
          <w:sz w:val="24"/>
          <w:szCs w:val="24"/>
          <w:u w:val="single"/>
        </w:rPr>
        <w:lastRenderedPageBreak/>
        <w:t>RDA Participation</w:t>
      </w:r>
    </w:p>
    <w:p w:rsidR="00464EE4" w:rsidRDefault="00464EE4" w:rsidP="00464EE4">
      <w:pPr>
        <w:autoSpaceDE w:val="0"/>
        <w:autoSpaceDN w:val="0"/>
        <w:adjustRightInd w:val="0"/>
        <w:spacing w:after="0" w:line="240" w:lineRule="auto"/>
        <w:rPr>
          <w:rFonts w:ascii="Times-Roman" w:hAnsi="Times-Roman" w:cs="Times-Roman"/>
          <w:sz w:val="24"/>
          <w:szCs w:val="24"/>
        </w:rPr>
      </w:pPr>
      <w:r w:rsidRPr="005163DA">
        <w:rPr>
          <w:rFonts w:ascii="Times-Roman" w:hAnsi="Times-Roman" w:cs="Times-Roman"/>
          <w:sz w:val="24"/>
          <w:szCs w:val="24"/>
        </w:rPr>
        <w:t>Box Elder County</w:t>
      </w:r>
      <w:r w:rsidR="005163DA" w:rsidRPr="005163DA">
        <w:rPr>
          <w:rFonts w:ascii="Times-Roman" w:hAnsi="Times-Roman" w:cs="Times-Roman"/>
          <w:sz w:val="24"/>
          <w:szCs w:val="24"/>
        </w:rPr>
        <w:t xml:space="preserve"> is anticipating participating </w:t>
      </w:r>
      <w:r w:rsidRPr="005163DA">
        <w:rPr>
          <w:rFonts w:ascii="Times-Roman" w:hAnsi="Times-Roman" w:cs="Times-Roman"/>
          <w:sz w:val="24"/>
          <w:szCs w:val="24"/>
        </w:rPr>
        <w:t>in the following projects in the County</w:t>
      </w:r>
      <w:r w:rsidR="005163DA" w:rsidRPr="005163DA">
        <w:rPr>
          <w:rFonts w:ascii="Times-Roman" w:hAnsi="Times-Roman" w:cs="Times-Roman"/>
          <w:sz w:val="24"/>
          <w:szCs w:val="24"/>
        </w:rPr>
        <w:t xml:space="preserve"> for 2017 tax year</w:t>
      </w:r>
      <w:r w:rsidRPr="005163DA">
        <w:rPr>
          <w:rFonts w:ascii="Times-Roman" w:hAnsi="Times-Roman" w:cs="Times-Roman"/>
          <w:sz w:val="24"/>
          <w:szCs w:val="24"/>
        </w:rPr>
        <w:t>.</w:t>
      </w:r>
      <w:r w:rsidRPr="00507AE1">
        <w:rPr>
          <w:rFonts w:ascii="Times-Roman" w:hAnsi="Times-Roman" w:cs="Times-Roman"/>
          <w:sz w:val="24"/>
          <w:szCs w:val="24"/>
        </w:rPr>
        <w:t xml:space="preserve">  </w:t>
      </w:r>
    </w:p>
    <w:p w:rsidR="00464EE4" w:rsidRPr="00507AE1" w:rsidRDefault="00464EE4" w:rsidP="00464EE4">
      <w:pPr>
        <w:autoSpaceDE w:val="0"/>
        <w:autoSpaceDN w:val="0"/>
        <w:adjustRightInd w:val="0"/>
        <w:spacing w:after="0" w:line="240" w:lineRule="auto"/>
        <w:jc w:val="center"/>
        <w:rPr>
          <w:rFonts w:ascii="Times-Roman" w:hAnsi="Times-Roman" w:cs="Times-Roman"/>
          <w:sz w:val="24"/>
          <w:szCs w:val="24"/>
        </w:rPr>
      </w:pPr>
    </w:p>
    <w:tbl>
      <w:tblPr>
        <w:tblStyle w:val="TableGrid"/>
        <w:tblW w:w="0" w:type="auto"/>
        <w:tblInd w:w="1080" w:type="dxa"/>
        <w:tblLook w:val="04A0" w:firstRow="1" w:lastRow="0" w:firstColumn="1" w:lastColumn="0" w:noHBand="0" w:noVBand="1"/>
      </w:tblPr>
      <w:tblGrid>
        <w:gridCol w:w="3192"/>
        <w:gridCol w:w="4026"/>
      </w:tblGrid>
      <w:tr w:rsidR="00464EE4" w:rsidTr="00663BE8">
        <w:tc>
          <w:tcPr>
            <w:tcW w:w="3192" w:type="dxa"/>
          </w:tcPr>
          <w:p w:rsidR="00464EE4" w:rsidRPr="00A83C0E" w:rsidRDefault="00464EE4" w:rsidP="00464EE4">
            <w:pPr>
              <w:autoSpaceDE w:val="0"/>
              <w:autoSpaceDN w:val="0"/>
              <w:adjustRightInd w:val="0"/>
              <w:rPr>
                <w:rFonts w:ascii="Times-Roman" w:hAnsi="Times-Roman" w:cs="Times-Roman"/>
                <w:b/>
                <w:sz w:val="24"/>
                <w:szCs w:val="24"/>
              </w:rPr>
            </w:pPr>
            <w:r w:rsidRPr="00A83C0E">
              <w:rPr>
                <w:rFonts w:ascii="Times-Roman" w:hAnsi="Times-Roman" w:cs="Times-Roman"/>
                <w:b/>
                <w:sz w:val="24"/>
                <w:szCs w:val="24"/>
              </w:rPr>
              <w:t>RDA</w:t>
            </w:r>
          </w:p>
        </w:tc>
        <w:tc>
          <w:tcPr>
            <w:tcW w:w="4026" w:type="dxa"/>
          </w:tcPr>
          <w:p w:rsidR="00464EE4" w:rsidRPr="00A83C0E" w:rsidRDefault="00464EE4" w:rsidP="00464EE4">
            <w:pPr>
              <w:autoSpaceDE w:val="0"/>
              <w:autoSpaceDN w:val="0"/>
              <w:adjustRightInd w:val="0"/>
              <w:rPr>
                <w:rFonts w:ascii="Times-Roman" w:hAnsi="Times-Roman" w:cs="Times-Roman"/>
                <w:b/>
                <w:sz w:val="24"/>
                <w:szCs w:val="24"/>
              </w:rPr>
            </w:pPr>
            <w:r w:rsidRPr="00A83C0E">
              <w:rPr>
                <w:rFonts w:ascii="Times-Roman" w:hAnsi="Times-Roman" w:cs="Times-Roman"/>
                <w:b/>
                <w:sz w:val="24"/>
                <w:szCs w:val="24"/>
              </w:rPr>
              <w:t>Project</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Box Elder County</w:t>
            </w: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Agri-Business Park</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P&amp;G</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Plymouth</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Brigham City</w:t>
            </w: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Northwest Econ Development</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X-20 EDA</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Campus District</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RDA #1 – Hotel Block</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Tremonton</w:t>
            </w: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West Liberty Foods</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Tremont Center</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Perry City</w:t>
            </w: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Point Perry CDA</w:t>
            </w:r>
          </w:p>
        </w:tc>
      </w:tr>
    </w:tbl>
    <w:p w:rsidR="00464EE4" w:rsidRDefault="00464EE4" w:rsidP="00464EE4">
      <w:pPr>
        <w:autoSpaceDE w:val="0"/>
        <w:autoSpaceDN w:val="0"/>
        <w:adjustRightInd w:val="0"/>
        <w:spacing w:after="0" w:line="240" w:lineRule="auto"/>
        <w:rPr>
          <w:rFonts w:ascii="Times-Roman" w:hAnsi="Times-Roman" w:cs="Times-Roman"/>
          <w:sz w:val="24"/>
          <w:szCs w:val="24"/>
        </w:rPr>
      </w:pPr>
    </w:p>
    <w:p w:rsidR="005163DA" w:rsidRPr="00507AE1" w:rsidRDefault="005163DA" w:rsidP="00464EE4">
      <w:pPr>
        <w:autoSpaceDE w:val="0"/>
        <w:autoSpaceDN w:val="0"/>
        <w:adjustRightInd w:val="0"/>
        <w:spacing w:after="0" w:line="240" w:lineRule="auto"/>
        <w:rPr>
          <w:rFonts w:ascii="Times-Roman" w:hAnsi="Times-Roman" w:cs="Times-Roman"/>
          <w:sz w:val="24"/>
          <w:szCs w:val="24"/>
        </w:rPr>
      </w:pPr>
    </w:p>
    <w:p w:rsidR="00464EE4" w:rsidRDefault="00464EE4" w:rsidP="00681CE7">
      <w:pPr>
        <w:autoSpaceDE w:val="0"/>
        <w:autoSpaceDN w:val="0"/>
        <w:adjustRightInd w:val="0"/>
        <w:spacing w:after="0" w:line="240" w:lineRule="auto"/>
        <w:rPr>
          <w:rFonts w:ascii="Times-Roman" w:hAnsi="Times-Roman" w:cs="Times-Roman"/>
          <w:sz w:val="24"/>
          <w:szCs w:val="24"/>
        </w:rPr>
      </w:pPr>
      <w:r w:rsidRPr="005163DA">
        <w:rPr>
          <w:rFonts w:ascii="Times-Roman" w:hAnsi="Times-Roman" w:cs="Times-Roman"/>
          <w:sz w:val="24"/>
          <w:szCs w:val="24"/>
        </w:rPr>
        <w:t>In 201</w:t>
      </w:r>
      <w:r w:rsidR="00600D96" w:rsidRPr="005163DA">
        <w:rPr>
          <w:rFonts w:ascii="Times-Roman" w:hAnsi="Times-Roman" w:cs="Times-Roman"/>
          <w:sz w:val="24"/>
          <w:szCs w:val="24"/>
        </w:rPr>
        <w:t>5</w:t>
      </w:r>
      <w:r w:rsidR="005163DA">
        <w:rPr>
          <w:rFonts w:ascii="Times-Roman" w:hAnsi="Times-Roman" w:cs="Times-Roman"/>
          <w:sz w:val="24"/>
          <w:szCs w:val="24"/>
        </w:rPr>
        <w:t xml:space="preserve"> (most recent year with data available)</w:t>
      </w:r>
      <w:r w:rsidRPr="005163DA">
        <w:rPr>
          <w:rFonts w:ascii="Times-Roman" w:hAnsi="Times-Roman" w:cs="Times-Roman"/>
          <w:sz w:val="24"/>
          <w:szCs w:val="24"/>
        </w:rPr>
        <w:t>, the County paid $1.1M in tax incr</w:t>
      </w:r>
      <w:r w:rsidR="00600D96" w:rsidRPr="005163DA">
        <w:rPr>
          <w:rFonts w:ascii="Times-Roman" w:hAnsi="Times-Roman" w:cs="Times-Roman"/>
          <w:sz w:val="24"/>
          <w:szCs w:val="24"/>
        </w:rPr>
        <w:t>ement to the different projects</w:t>
      </w:r>
    </w:p>
    <w:sectPr w:rsidR="00464EE4" w:rsidSect="0062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EC7"/>
    <w:multiLevelType w:val="hybridMultilevel"/>
    <w:tmpl w:val="A23C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3730"/>
    <w:multiLevelType w:val="hybridMultilevel"/>
    <w:tmpl w:val="858CBA4E"/>
    <w:lvl w:ilvl="0" w:tplc="C2FAA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20E36"/>
    <w:multiLevelType w:val="hybridMultilevel"/>
    <w:tmpl w:val="A5F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71D9"/>
    <w:multiLevelType w:val="hybridMultilevel"/>
    <w:tmpl w:val="AF32B60A"/>
    <w:lvl w:ilvl="0" w:tplc="D3AE3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41FDE"/>
    <w:multiLevelType w:val="hybridMultilevel"/>
    <w:tmpl w:val="9B88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C3357"/>
    <w:multiLevelType w:val="hybridMultilevel"/>
    <w:tmpl w:val="17A44F74"/>
    <w:lvl w:ilvl="0" w:tplc="EF3A0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6B2527"/>
    <w:multiLevelType w:val="hybridMultilevel"/>
    <w:tmpl w:val="A95CB026"/>
    <w:lvl w:ilvl="0" w:tplc="6ACA6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067731"/>
    <w:multiLevelType w:val="hybridMultilevel"/>
    <w:tmpl w:val="9044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3A"/>
    <w:rsid w:val="00093EA9"/>
    <w:rsid w:val="00132303"/>
    <w:rsid w:val="0030469A"/>
    <w:rsid w:val="00347397"/>
    <w:rsid w:val="0037340D"/>
    <w:rsid w:val="003C3059"/>
    <w:rsid w:val="003E37A9"/>
    <w:rsid w:val="00411984"/>
    <w:rsid w:val="00464EE4"/>
    <w:rsid w:val="00484FCB"/>
    <w:rsid w:val="00507AE1"/>
    <w:rsid w:val="005163DA"/>
    <w:rsid w:val="00564AF7"/>
    <w:rsid w:val="00600D96"/>
    <w:rsid w:val="00621A2D"/>
    <w:rsid w:val="00631461"/>
    <w:rsid w:val="00652894"/>
    <w:rsid w:val="00663BE8"/>
    <w:rsid w:val="00681CE7"/>
    <w:rsid w:val="007E10ED"/>
    <w:rsid w:val="00886087"/>
    <w:rsid w:val="00994303"/>
    <w:rsid w:val="009F2562"/>
    <w:rsid w:val="00A41C5F"/>
    <w:rsid w:val="00A83C0E"/>
    <w:rsid w:val="00B322C7"/>
    <w:rsid w:val="00B3349C"/>
    <w:rsid w:val="00CC598A"/>
    <w:rsid w:val="00CF21C3"/>
    <w:rsid w:val="00D6433A"/>
    <w:rsid w:val="00E93A5F"/>
    <w:rsid w:val="00FE7C3B"/>
    <w:rsid w:val="00FF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F7AA3-4343-4295-ADB0-8BC89CE7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3A"/>
    <w:pPr>
      <w:ind w:left="720"/>
      <w:contextualSpacing/>
    </w:pPr>
  </w:style>
  <w:style w:type="table" w:styleId="TableGrid">
    <w:name w:val="Table Grid"/>
    <w:basedOn w:val="TableNormal"/>
    <w:uiPriority w:val="59"/>
    <w:rsid w:val="005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E4"/>
    <w:rPr>
      <w:rFonts w:ascii="Tahoma" w:hAnsi="Tahoma" w:cs="Tahoma"/>
      <w:sz w:val="16"/>
      <w:szCs w:val="16"/>
    </w:rPr>
  </w:style>
  <w:style w:type="paragraph" w:styleId="Header">
    <w:name w:val="header"/>
    <w:basedOn w:val="Normal"/>
    <w:link w:val="HeaderChar"/>
    <w:rsid w:val="00B322C7"/>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B322C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7114">
      <w:bodyDiv w:val="1"/>
      <w:marLeft w:val="0"/>
      <w:marRight w:val="0"/>
      <w:marTop w:val="0"/>
      <w:marBottom w:val="0"/>
      <w:divBdr>
        <w:top w:val="none" w:sz="0" w:space="0" w:color="auto"/>
        <w:left w:val="none" w:sz="0" w:space="0" w:color="auto"/>
        <w:bottom w:val="none" w:sz="0" w:space="0" w:color="auto"/>
        <w:right w:val="none" w:sz="0" w:space="0" w:color="auto"/>
      </w:divBdr>
      <w:divsChild>
        <w:div w:id="1272712399">
          <w:marLeft w:val="0"/>
          <w:marRight w:val="0"/>
          <w:marTop w:val="0"/>
          <w:marBottom w:val="0"/>
          <w:divBdr>
            <w:top w:val="none" w:sz="0" w:space="0" w:color="auto"/>
            <w:left w:val="none" w:sz="0" w:space="0" w:color="auto"/>
            <w:bottom w:val="none" w:sz="0" w:space="0" w:color="auto"/>
            <w:right w:val="none" w:sz="0" w:space="0" w:color="auto"/>
          </w:divBdr>
        </w:div>
        <w:div w:id="1538396333">
          <w:marLeft w:val="0"/>
          <w:marRight w:val="0"/>
          <w:marTop w:val="0"/>
          <w:marBottom w:val="0"/>
          <w:divBdr>
            <w:top w:val="none" w:sz="0" w:space="0" w:color="auto"/>
            <w:left w:val="none" w:sz="0" w:space="0" w:color="auto"/>
            <w:bottom w:val="none" w:sz="0" w:space="0" w:color="auto"/>
            <w:right w:val="none" w:sz="0" w:space="0" w:color="auto"/>
          </w:divBdr>
        </w:div>
        <w:div w:id="1442534141">
          <w:marLeft w:val="0"/>
          <w:marRight w:val="0"/>
          <w:marTop w:val="0"/>
          <w:marBottom w:val="0"/>
          <w:divBdr>
            <w:top w:val="none" w:sz="0" w:space="0" w:color="auto"/>
            <w:left w:val="none" w:sz="0" w:space="0" w:color="auto"/>
            <w:bottom w:val="none" w:sz="0" w:space="0" w:color="auto"/>
            <w:right w:val="none" w:sz="0" w:space="0" w:color="auto"/>
          </w:divBdr>
        </w:div>
        <w:div w:id="1149786951">
          <w:marLeft w:val="0"/>
          <w:marRight w:val="0"/>
          <w:marTop w:val="0"/>
          <w:marBottom w:val="0"/>
          <w:divBdr>
            <w:top w:val="none" w:sz="0" w:space="0" w:color="auto"/>
            <w:left w:val="none" w:sz="0" w:space="0" w:color="auto"/>
            <w:bottom w:val="none" w:sz="0" w:space="0" w:color="auto"/>
            <w:right w:val="none" w:sz="0" w:space="0" w:color="auto"/>
          </w:divBdr>
        </w:div>
        <w:div w:id="1366364811">
          <w:marLeft w:val="0"/>
          <w:marRight w:val="0"/>
          <w:marTop w:val="0"/>
          <w:marBottom w:val="0"/>
          <w:divBdr>
            <w:top w:val="none" w:sz="0" w:space="0" w:color="auto"/>
            <w:left w:val="none" w:sz="0" w:space="0" w:color="auto"/>
            <w:bottom w:val="none" w:sz="0" w:space="0" w:color="auto"/>
            <w:right w:val="none" w:sz="0" w:space="0" w:color="auto"/>
          </w:divBdr>
        </w:div>
        <w:div w:id="1708725320">
          <w:marLeft w:val="0"/>
          <w:marRight w:val="0"/>
          <w:marTop w:val="0"/>
          <w:marBottom w:val="0"/>
          <w:divBdr>
            <w:top w:val="none" w:sz="0" w:space="0" w:color="auto"/>
            <w:left w:val="none" w:sz="0" w:space="0" w:color="auto"/>
            <w:bottom w:val="none" w:sz="0" w:space="0" w:color="auto"/>
            <w:right w:val="none" w:sz="0" w:space="0" w:color="auto"/>
          </w:divBdr>
        </w:div>
      </w:divsChild>
    </w:div>
    <w:div w:id="664163947">
      <w:bodyDiv w:val="1"/>
      <w:marLeft w:val="0"/>
      <w:marRight w:val="0"/>
      <w:marTop w:val="0"/>
      <w:marBottom w:val="0"/>
      <w:divBdr>
        <w:top w:val="none" w:sz="0" w:space="0" w:color="auto"/>
        <w:left w:val="none" w:sz="0" w:space="0" w:color="auto"/>
        <w:bottom w:val="none" w:sz="0" w:space="0" w:color="auto"/>
        <w:right w:val="none" w:sz="0" w:space="0" w:color="auto"/>
      </w:divBdr>
    </w:div>
    <w:div w:id="697970629">
      <w:bodyDiv w:val="1"/>
      <w:marLeft w:val="0"/>
      <w:marRight w:val="0"/>
      <w:marTop w:val="0"/>
      <w:marBottom w:val="0"/>
      <w:divBdr>
        <w:top w:val="none" w:sz="0" w:space="0" w:color="auto"/>
        <w:left w:val="none" w:sz="0" w:space="0" w:color="auto"/>
        <w:bottom w:val="none" w:sz="0" w:space="0" w:color="auto"/>
        <w:right w:val="none" w:sz="0" w:space="0" w:color="auto"/>
      </w:divBdr>
    </w:div>
    <w:div w:id="1361854635">
      <w:bodyDiv w:val="1"/>
      <w:marLeft w:val="0"/>
      <w:marRight w:val="0"/>
      <w:marTop w:val="0"/>
      <w:marBottom w:val="0"/>
      <w:divBdr>
        <w:top w:val="none" w:sz="0" w:space="0" w:color="auto"/>
        <w:left w:val="none" w:sz="0" w:space="0" w:color="auto"/>
        <w:bottom w:val="none" w:sz="0" w:space="0" w:color="auto"/>
        <w:right w:val="none" w:sz="0" w:space="0" w:color="auto"/>
      </w:divBdr>
    </w:div>
    <w:div w:id="15436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tkotter</dc:creator>
  <cp:lastModifiedBy>Tom Kotter</cp:lastModifiedBy>
  <cp:revision>7</cp:revision>
  <dcterms:created xsi:type="dcterms:W3CDTF">2016-10-25T22:23:00Z</dcterms:created>
  <dcterms:modified xsi:type="dcterms:W3CDTF">2016-10-27T21:24:00Z</dcterms:modified>
</cp:coreProperties>
</file>