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CF" w:rsidRDefault="00F11DCF" w:rsidP="00F11DCF">
      <w:pPr>
        <w:pStyle w:val="NoSpacing"/>
        <w:jc w:val="center"/>
      </w:pPr>
      <w:r>
        <w:t>AFFORDABLE HOUSING PLAN OUTLINE</w:t>
      </w:r>
    </w:p>
    <w:p w:rsidR="00F11DCF" w:rsidRDefault="00F11DCF" w:rsidP="00F11DCF">
      <w:pPr>
        <w:pStyle w:val="NoSpacing"/>
      </w:pPr>
      <w:r>
        <w:tab/>
        <w:t xml:space="preserve">THIS Housing Element has been developed in accordance with H.B. 295 to address the affordable housing needs in Randolph City.  The City is interested in providing reasonable opportunities for a variety of housing, including affordable housing, which </w:t>
      </w:r>
      <w:r w:rsidR="005041B4">
        <w:t>allows</w:t>
      </w:r>
      <w:r>
        <w:t xml:space="preserve"> persons with moderate incomes to benefit from the community life in Randolph.  This plan </w:t>
      </w:r>
      <w:r w:rsidR="005041B4">
        <w:t>represents</w:t>
      </w:r>
      <w:r>
        <w:t xml:space="preserve"> the City’s plan for the next five years and includes an inventory and analysis of the current housing and population situation, an analysis of current zoning regulations and goals and policies that will help maintain affordable housing within the City.  Affordable housing, in this document, means housing occupied or reserved </w:t>
      </w:r>
      <w:r w:rsidR="005041B4">
        <w:t>floor</w:t>
      </w:r>
      <w:r>
        <w:t xml:space="preserve"> occupancy by households with a </w:t>
      </w:r>
      <w:r w:rsidR="005041B4">
        <w:t>gross</w:t>
      </w:r>
      <w:r>
        <w:t xml:space="preserve"> household income equal to </w:t>
      </w:r>
      <w:r w:rsidR="005041B4">
        <w:t>or less</w:t>
      </w:r>
      <w:r>
        <w:t xml:space="preserve"> than 80% of the median gross income of the metropolitan statistical area for households of the same size.</w:t>
      </w:r>
    </w:p>
    <w:p w:rsidR="00F11DCF" w:rsidRDefault="00F11DCF" w:rsidP="00F11DCF">
      <w:pPr>
        <w:pStyle w:val="NoSpacing"/>
      </w:pPr>
    </w:p>
    <w:p w:rsidR="00F11DCF" w:rsidRDefault="00AF3511" w:rsidP="00F11DCF">
      <w:pPr>
        <w:pStyle w:val="NoSpacing"/>
        <w:jc w:val="center"/>
      </w:pPr>
      <w:r>
        <w:rPr>
          <w:u w:val="single"/>
        </w:rPr>
        <w:t>Affordable Housing Categories</w:t>
      </w:r>
      <w:r>
        <w:t>**</w:t>
      </w:r>
    </w:p>
    <w:tbl>
      <w:tblPr>
        <w:tblStyle w:val="TableGrid"/>
        <w:tblW w:w="0" w:type="auto"/>
        <w:tblLook w:val="04A0"/>
      </w:tblPr>
      <w:tblGrid>
        <w:gridCol w:w="1915"/>
        <w:gridCol w:w="1915"/>
        <w:gridCol w:w="1915"/>
        <w:gridCol w:w="1915"/>
      </w:tblGrid>
      <w:tr w:rsidR="00AF3511" w:rsidTr="00AF3511">
        <w:tc>
          <w:tcPr>
            <w:tcW w:w="1915" w:type="dxa"/>
          </w:tcPr>
          <w:p w:rsidR="00AF3511" w:rsidRDefault="00AF3511" w:rsidP="00F11DCF">
            <w:pPr>
              <w:pStyle w:val="NoSpacing"/>
              <w:jc w:val="center"/>
            </w:pPr>
          </w:p>
        </w:tc>
        <w:tc>
          <w:tcPr>
            <w:tcW w:w="1915" w:type="dxa"/>
          </w:tcPr>
          <w:p w:rsidR="00AF3511" w:rsidRDefault="00AF3511" w:rsidP="00F11DCF">
            <w:pPr>
              <w:pStyle w:val="NoSpacing"/>
              <w:jc w:val="center"/>
            </w:pPr>
            <w:r>
              <w:t>80% of Median Income</w:t>
            </w:r>
          </w:p>
        </w:tc>
        <w:tc>
          <w:tcPr>
            <w:tcW w:w="1915" w:type="dxa"/>
          </w:tcPr>
          <w:p w:rsidR="00AF3511" w:rsidRDefault="00AF3511" w:rsidP="00F11DCF">
            <w:pPr>
              <w:pStyle w:val="NoSpacing"/>
              <w:jc w:val="center"/>
            </w:pPr>
            <w:r>
              <w:t>50% of Median Income</w:t>
            </w:r>
          </w:p>
        </w:tc>
        <w:tc>
          <w:tcPr>
            <w:tcW w:w="1915" w:type="dxa"/>
          </w:tcPr>
          <w:p w:rsidR="00AF3511" w:rsidRDefault="00AF3511" w:rsidP="00F11DCF">
            <w:pPr>
              <w:pStyle w:val="NoSpacing"/>
              <w:jc w:val="center"/>
            </w:pPr>
            <w:r>
              <w:t>30% of Median Income</w:t>
            </w:r>
          </w:p>
        </w:tc>
      </w:tr>
      <w:tr w:rsidR="00AF3511" w:rsidTr="00AF3511">
        <w:tc>
          <w:tcPr>
            <w:tcW w:w="1915" w:type="dxa"/>
          </w:tcPr>
          <w:p w:rsidR="00AF3511" w:rsidRDefault="00AF3511" w:rsidP="00F11DCF">
            <w:pPr>
              <w:pStyle w:val="NoSpacing"/>
              <w:jc w:val="center"/>
            </w:pPr>
            <w:r>
              <w:t>Household Income</w:t>
            </w:r>
          </w:p>
        </w:tc>
        <w:tc>
          <w:tcPr>
            <w:tcW w:w="1915" w:type="dxa"/>
          </w:tcPr>
          <w:p w:rsidR="00AF3511" w:rsidRDefault="00AF3511" w:rsidP="00F11DCF">
            <w:pPr>
              <w:pStyle w:val="NoSpacing"/>
              <w:jc w:val="center"/>
            </w:pPr>
            <w:r>
              <w:t>$29,300</w:t>
            </w:r>
          </w:p>
        </w:tc>
        <w:tc>
          <w:tcPr>
            <w:tcW w:w="1915" w:type="dxa"/>
          </w:tcPr>
          <w:p w:rsidR="00AF3511" w:rsidRDefault="00AF3511" w:rsidP="00F11DCF">
            <w:pPr>
              <w:pStyle w:val="NoSpacing"/>
              <w:jc w:val="center"/>
            </w:pPr>
            <w:r>
              <w:t>$18,313</w:t>
            </w:r>
          </w:p>
        </w:tc>
        <w:tc>
          <w:tcPr>
            <w:tcW w:w="1915" w:type="dxa"/>
          </w:tcPr>
          <w:p w:rsidR="00AF3511" w:rsidRDefault="00AF3511" w:rsidP="00F11DCF">
            <w:pPr>
              <w:pStyle w:val="NoSpacing"/>
              <w:jc w:val="center"/>
            </w:pPr>
            <w:r>
              <w:t>$10,988</w:t>
            </w:r>
          </w:p>
        </w:tc>
      </w:tr>
      <w:tr w:rsidR="00AF3511" w:rsidTr="00AF3511">
        <w:tc>
          <w:tcPr>
            <w:tcW w:w="1915" w:type="dxa"/>
          </w:tcPr>
          <w:p w:rsidR="00AF3511" w:rsidRDefault="00AF3511" w:rsidP="00F11DCF">
            <w:pPr>
              <w:pStyle w:val="NoSpacing"/>
              <w:jc w:val="center"/>
            </w:pPr>
            <w:r>
              <w:t>Maximum Purchase</w:t>
            </w:r>
          </w:p>
        </w:tc>
        <w:tc>
          <w:tcPr>
            <w:tcW w:w="1915" w:type="dxa"/>
          </w:tcPr>
          <w:p w:rsidR="00AF3511" w:rsidRDefault="00AF3511" w:rsidP="00F11DCF">
            <w:pPr>
              <w:pStyle w:val="NoSpacing"/>
              <w:jc w:val="center"/>
            </w:pPr>
            <w:r>
              <w:t>$91,000</w:t>
            </w:r>
          </w:p>
        </w:tc>
        <w:tc>
          <w:tcPr>
            <w:tcW w:w="1915" w:type="dxa"/>
          </w:tcPr>
          <w:p w:rsidR="00AF3511" w:rsidRDefault="00AF3511" w:rsidP="00F11DCF">
            <w:pPr>
              <w:pStyle w:val="NoSpacing"/>
              <w:jc w:val="center"/>
            </w:pPr>
            <w:r>
              <w:t>$55,400</w:t>
            </w:r>
          </w:p>
        </w:tc>
        <w:tc>
          <w:tcPr>
            <w:tcW w:w="1915" w:type="dxa"/>
          </w:tcPr>
          <w:p w:rsidR="00AF3511" w:rsidRDefault="00AF3511" w:rsidP="00F11DCF">
            <w:pPr>
              <w:pStyle w:val="NoSpacing"/>
              <w:jc w:val="center"/>
            </w:pPr>
            <w:r>
              <w:t>$31,800</w:t>
            </w:r>
          </w:p>
        </w:tc>
      </w:tr>
      <w:tr w:rsidR="00AF3511" w:rsidTr="00AF3511">
        <w:tc>
          <w:tcPr>
            <w:tcW w:w="1915" w:type="dxa"/>
          </w:tcPr>
          <w:p w:rsidR="00AF3511" w:rsidRDefault="00AF3511" w:rsidP="00F11DCF">
            <w:pPr>
              <w:pStyle w:val="NoSpacing"/>
              <w:jc w:val="center"/>
            </w:pPr>
            <w:r>
              <w:t>Maximum Monthly Rent</w:t>
            </w:r>
          </w:p>
        </w:tc>
        <w:tc>
          <w:tcPr>
            <w:tcW w:w="1915" w:type="dxa"/>
          </w:tcPr>
          <w:p w:rsidR="00AF3511" w:rsidRDefault="00AF3511" w:rsidP="00F11DCF">
            <w:pPr>
              <w:pStyle w:val="NoSpacing"/>
              <w:jc w:val="center"/>
            </w:pPr>
            <w:r>
              <w:t>$596</w:t>
            </w:r>
          </w:p>
        </w:tc>
        <w:tc>
          <w:tcPr>
            <w:tcW w:w="1915" w:type="dxa"/>
          </w:tcPr>
          <w:p w:rsidR="00AF3511" w:rsidRDefault="00AF3511" w:rsidP="00F11DCF">
            <w:pPr>
              <w:pStyle w:val="NoSpacing"/>
              <w:jc w:val="center"/>
            </w:pPr>
            <w:r>
              <w:t>$326</w:t>
            </w:r>
          </w:p>
        </w:tc>
        <w:tc>
          <w:tcPr>
            <w:tcW w:w="1915" w:type="dxa"/>
          </w:tcPr>
          <w:p w:rsidR="00AF3511" w:rsidRDefault="00AF3511" w:rsidP="00F11DCF">
            <w:pPr>
              <w:pStyle w:val="NoSpacing"/>
              <w:jc w:val="center"/>
            </w:pPr>
            <w:r>
              <w:t>$136</w:t>
            </w:r>
          </w:p>
          <w:p w:rsidR="00AF3511" w:rsidRDefault="00AF3511" w:rsidP="00AF3511">
            <w:pPr>
              <w:pStyle w:val="NoSpacing"/>
            </w:pPr>
          </w:p>
        </w:tc>
      </w:tr>
    </w:tbl>
    <w:p w:rsidR="00AF3511" w:rsidRDefault="00AF3511" w:rsidP="00AF3511">
      <w:pPr>
        <w:pStyle w:val="NoSpacing"/>
      </w:pPr>
      <w:r>
        <w:t>**Source: The Utah State Department of Community and Economic Development</w:t>
      </w:r>
    </w:p>
    <w:p w:rsidR="00AF3511" w:rsidRDefault="00AF3511" w:rsidP="00AF3511">
      <w:pPr>
        <w:pStyle w:val="NoSpacing"/>
      </w:pPr>
    </w:p>
    <w:p w:rsidR="00AF3511" w:rsidRDefault="00AF3511" w:rsidP="00AF3511">
      <w:pPr>
        <w:pStyle w:val="NoSpacing"/>
      </w:pPr>
    </w:p>
    <w:p w:rsidR="00AF3511" w:rsidRDefault="00AF3511" w:rsidP="00AF3511">
      <w:pPr>
        <w:pStyle w:val="NoSpacing"/>
        <w:jc w:val="center"/>
        <w:rPr>
          <w:u w:val="single"/>
        </w:rPr>
      </w:pPr>
      <w:r>
        <w:rPr>
          <w:u w:val="single"/>
        </w:rPr>
        <w:t>Housing Inventory</w:t>
      </w:r>
    </w:p>
    <w:p w:rsidR="00AF3511" w:rsidRDefault="00AF3511" w:rsidP="00AF3511">
      <w:pPr>
        <w:pStyle w:val="NoSpacing"/>
        <w:jc w:val="center"/>
        <w:rPr>
          <w:u w:val="single"/>
        </w:rPr>
      </w:pPr>
    </w:p>
    <w:p w:rsidR="00AF3511" w:rsidRDefault="00AF3511" w:rsidP="00AF3511">
      <w:pPr>
        <w:pStyle w:val="NoSpacing"/>
        <w:jc w:val="center"/>
        <w:rPr>
          <w:u w:val="single"/>
        </w:rPr>
      </w:pPr>
    </w:p>
    <w:tbl>
      <w:tblPr>
        <w:tblStyle w:val="TableGrid"/>
        <w:tblW w:w="0" w:type="auto"/>
        <w:tblLook w:val="04A0"/>
      </w:tblPr>
      <w:tblGrid>
        <w:gridCol w:w="2394"/>
        <w:gridCol w:w="2394"/>
        <w:gridCol w:w="2394"/>
        <w:gridCol w:w="2394"/>
      </w:tblGrid>
      <w:tr w:rsidR="00AF3511" w:rsidTr="00AF3511">
        <w:tc>
          <w:tcPr>
            <w:tcW w:w="2394" w:type="dxa"/>
          </w:tcPr>
          <w:p w:rsidR="00AF3511" w:rsidRDefault="00AF3511" w:rsidP="00AF3511">
            <w:pPr>
              <w:pStyle w:val="NoSpacing"/>
              <w:rPr>
                <w:u w:val="single"/>
              </w:rPr>
            </w:pPr>
          </w:p>
        </w:tc>
        <w:tc>
          <w:tcPr>
            <w:tcW w:w="2394" w:type="dxa"/>
          </w:tcPr>
          <w:p w:rsidR="00AF3511" w:rsidRPr="00AF3511" w:rsidRDefault="00AF3511" w:rsidP="00AF3511">
            <w:pPr>
              <w:pStyle w:val="NoSpacing"/>
            </w:pPr>
            <w:r>
              <w:t>Rented</w:t>
            </w:r>
          </w:p>
        </w:tc>
        <w:tc>
          <w:tcPr>
            <w:tcW w:w="2394" w:type="dxa"/>
          </w:tcPr>
          <w:p w:rsidR="00AF3511" w:rsidRPr="00AF3511" w:rsidRDefault="00AF3511" w:rsidP="00AF3511">
            <w:pPr>
              <w:pStyle w:val="NoSpacing"/>
            </w:pPr>
            <w:r>
              <w:t>Owned</w:t>
            </w:r>
          </w:p>
        </w:tc>
        <w:tc>
          <w:tcPr>
            <w:tcW w:w="2394" w:type="dxa"/>
          </w:tcPr>
          <w:p w:rsidR="00AF3511" w:rsidRPr="00AF3511" w:rsidRDefault="00AF3511" w:rsidP="00AF3511">
            <w:pPr>
              <w:pStyle w:val="NoSpacing"/>
            </w:pPr>
            <w:r>
              <w:t>Vacant</w:t>
            </w:r>
          </w:p>
        </w:tc>
      </w:tr>
      <w:tr w:rsidR="00AF3511" w:rsidTr="00AF3511">
        <w:tc>
          <w:tcPr>
            <w:tcW w:w="2394" w:type="dxa"/>
          </w:tcPr>
          <w:p w:rsidR="00AF3511" w:rsidRPr="00AF3511" w:rsidRDefault="00AF3511" w:rsidP="00AF3511">
            <w:pPr>
              <w:pStyle w:val="NoSpacing"/>
            </w:pPr>
            <w:r>
              <w:t>Single Family Homes</w:t>
            </w:r>
          </w:p>
        </w:tc>
        <w:tc>
          <w:tcPr>
            <w:tcW w:w="2394" w:type="dxa"/>
          </w:tcPr>
          <w:p w:rsidR="00AF3511" w:rsidRPr="00AF3511" w:rsidRDefault="00AF3511" w:rsidP="00AF3511">
            <w:pPr>
              <w:pStyle w:val="NoSpacing"/>
            </w:pPr>
            <w:r>
              <w:t>11</w:t>
            </w:r>
          </w:p>
        </w:tc>
        <w:tc>
          <w:tcPr>
            <w:tcW w:w="2394" w:type="dxa"/>
          </w:tcPr>
          <w:p w:rsidR="00AF3511" w:rsidRPr="00AF3511" w:rsidRDefault="00AF3511" w:rsidP="00AF3511">
            <w:pPr>
              <w:pStyle w:val="NoSpacing"/>
            </w:pPr>
            <w:r>
              <w:t>128</w:t>
            </w:r>
          </w:p>
        </w:tc>
        <w:tc>
          <w:tcPr>
            <w:tcW w:w="2394" w:type="dxa"/>
          </w:tcPr>
          <w:p w:rsidR="00AF3511" w:rsidRPr="00AF3511" w:rsidRDefault="00AF3511" w:rsidP="00AF3511">
            <w:pPr>
              <w:pStyle w:val="NoSpacing"/>
            </w:pPr>
            <w:r>
              <w:t>20 (8 are in disrepair)</w:t>
            </w:r>
          </w:p>
        </w:tc>
      </w:tr>
      <w:tr w:rsidR="00AF3511" w:rsidTr="00AF3511">
        <w:tc>
          <w:tcPr>
            <w:tcW w:w="2394" w:type="dxa"/>
          </w:tcPr>
          <w:p w:rsidR="00AF3511" w:rsidRPr="00AF3511" w:rsidRDefault="00AF3511" w:rsidP="00AF3511">
            <w:pPr>
              <w:pStyle w:val="NoSpacing"/>
            </w:pPr>
            <w:r>
              <w:t>Single family Modular Home or Trailer (outside of a trailer)</w:t>
            </w:r>
          </w:p>
        </w:tc>
        <w:tc>
          <w:tcPr>
            <w:tcW w:w="2394" w:type="dxa"/>
          </w:tcPr>
          <w:p w:rsidR="00AF3511" w:rsidRPr="00AF3511" w:rsidRDefault="00AF3511" w:rsidP="00AF3511">
            <w:pPr>
              <w:pStyle w:val="NoSpacing"/>
            </w:pPr>
            <w:r>
              <w:t>2</w:t>
            </w:r>
          </w:p>
        </w:tc>
        <w:tc>
          <w:tcPr>
            <w:tcW w:w="2394" w:type="dxa"/>
          </w:tcPr>
          <w:p w:rsidR="00AF3511" w:rsidRPr="00AF3511" w:rsidRDefault="00AF3511" w:rsidP="00AF3511">
            <w:pPr>
              <w:pStyle w:val="NoSpacing"/>
            </w:pPr>
            <w:r>
              <w:t>6</w:t>
            </w:r>
          </w:p>
        </w:tc>
        <w:tc>
          <w:tcPr>
            <w:tcW w:w="2394" w:type="dxa"/>
          </w:tcPr>
          <w:p w:rsidR="00AF3511" w:rsidRPr="00AF3511" w:rsidRDefault="00AF3511" w:rsidP="00AF3511">
            <w:pPr>
              <w:pStyle w:val="NoSpacing"/>
            </w:pPr>
            <w:r>
              <w:t>4</w:t>
            </w:r>
          </w:p>
        </w:tc>
      </w:tr>
      <w:tr w:rsidR="00AF3511" w:rsidTr="00AF3511">
        <w:tc>
          <w:tcPr>
            <w:tcW w:w="2394" w:type="dxa"/>
          </w:tcPr>
          <w:p w:rsidR="00AF3511" w:rsidRPr="00AF3511" w:rsidRDefault="00AF3511" w:rsidP="00AF3511">
            <w:pPr>
              <w:pStyle w:val="NoSpacing"/>
            </w:pPr>
            <w:r>
              <w:t>Single Family Trailer (inside a trailer park)</w:t>
            </w:r>
          </w:p>
        </w:tc>
        <w:tc>
          <w:tcPr>
            <w:tcW w:w="2394" w:type="dxa"/>
          </w:tcPr>
          <w:p w:rsidR="00AF3511" w:rsidRPr="00AF3511" w:rsidRDefault="00AF3511" w:rsidP="00AF3511">
            <w:pPr>
              <w:pStyle w:val="NoSpacing"/>
            </w:pPr>
            <w:r>
              <w:t>7</w:t>
            </w:r>
          </w:p>
        </w:tc>
        <w:tc>
          <w:tcPr>
            <w:tcW w:w="2394" w:type="dxa"/>
          </w:tcPr>
          <w:p w:rsidR="00AF3511" w:rsidRPr="00AF3511" w:rsidRDefault="00AF3511" w:rsidP="00AF3511">
            <w:pPr>
              <w:pStyle w:val="NoSpacing"/>
            </w:pPr>
            <w:r>
              <w:t>6</w:t>
            </w:r>
          </w:p>
        </w:tc>
        <w:tc>
          <w:tcPr>
            <w:tcW w:w="2394" w:type="dxa"/>
          </w:tcPr>
          <w:p w:rsidR="00AF3511" w:rsidRPr="00AF3511" w:rsidRDefault="00AF3511" w:rsidP="00AF3511">
            <w:pPr>
              <w:pStyle w:val="NoSpacing"/>
            </w:pPr>
            <w:r>
              <w:t>3</w:t>
            </w:r>
          </w:p>
        </w:tc>
      </w:tr>
      <w:tr w:rsidR="00AF3511" w:rsidTr="00AF3511">
        <w:tc>
          <w:tcPr>
            <w:tcW w:w="2394" w:type="dxa"/>
          </w:tcPr>
          <w:p w:rsidR="00AF3511" w:rsidRPr="00AF3511" w:rsidRDefault="00AF3511" w:rsidP="00AF3511">
            <w:pPr>
              <w:pStyle w:val="NoSpacing"/>
            </w:pPr>
            <w:r>
              <w:t>Multifamily Apartment</w:t>
            </w:r>
          </w:p>
        </w:tc>
        <w:tc>
          <w:tcPr>
            <w:tcW w:w="2394" w:type="dxa"/>
          </w:tcPr>
          <w:p w:rsidR="00AF3511" w:rsidRPr="00AF3511" w:rsidRDefault="00AF3511" w:rsidP="00AF3511">
            <w:pPr>
              <w:pStyle w:val="NoSpacing"/>
            </w:pPr>
            <w:r>
              <w:t>6</w:t>
            </w:r>
          </w:p>
        </w:tc>
        <w:tc>
          <w:tcPr>
            <w:tcW w:w="2394" w:type="dxa"/>
          </w:tcPr>
          <w:p w:rsidR="00AF3511" w:rsidRPr="00AF3511" w:rsidRDefault="00AF3511" w:rsidP="00AF3511">
            <w:pPr>
              <w:pStyle w:val="NoSpacing"/>
            </w:pPr>
            <w:r>
              <w:t>NA</w:t>
            </w:r>
          </w:p>
        </w:tc>
        <w:tc>
          <w:tcPr>
            <w:tcW w:w="2394" w:type="dxa"/>
          </w:tcPr>
          <w:p w:rsidR="00AF3511" w:rsidRPr="00AF3511" w:rsidRDefault="00AF3511" w:rsidP="00AF3511">
            <w:pPr>
              <w:pStyle w:val="NoSpacing"/>
            </w:pPr>
            <w:r>
              <w:t>6</w:t>
            </w:r>
          </w:p>
        </w:tc>
      </w:tr>
    </w:tbl>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rPr>
          <w:u w:val="single"/>
        </w:rPr>
      </w:pPr>
    </w:p>
    <w:p w:rsidR="00AF3511" w:rsidRDefault="00AF3511" w:rsidP="00AF3511">
      <w:pPr>
        <w:pStyle w:val="NoSpacing"/>
        <w:jc w:val="center"/>
      </w:pPr>
      <w:r>
        <w:rPr>
          <w:u w:val="single"/>
        </w:rPr>
        <w:lastRenderedPageBreak/>
        <w:t>Population Projections for Randolph City</w:t>
      </w:r>
      <w:r>
        <w:t>**</w:t>
      </w:r>
    </w:p>
    <w:p w:rsidR="00AF3511" w:rsidRDefault="00AF3511" w:rsidP="00AF3511">
      <w:pPr>
        <w:pStyle w:val="NoSpacing"/>
        <w:jc w:val="center"/>
      </w:pPr>
    </w:p>
    <w:p w:rsidR="00AF3511" w:rsidRDefault="00AF3511" w:rsidP="00AF3511">
      <w:pPr>
        <w:pStyle w:val="NoSpacing"/>
        <w:jc w:val="center"/>
      </w:pPr>
    </w:p>
    <w:tbl>
      <w:tblPr>
        <w:tblStyle w:val="TableGrid"/>
        <w:tblW w:w="0" w:type="auto"/>
        <w:tblLook w:val="04A0"/>
      </w:tblPr>
      <w:tblGrid>
        <w:gridCol w:w="1150"/>
        <w:gridCol w:w="935"/>
        <w:gridCol w:w="935"/>
        <w:gridCol w:w="935"/>
        <w:gridCol w:w="936"/>
        <w:gridCol w:w="937"/>
        <w:gridCol w:w="937"/>
        <w:gridCol w:w="937"/>
        <w:gridCol w:w="937"/>
        <w:gridCol w:w="937"/>
      </w:tblGrid>
      <w:tr w:rsidR="00AF3511" w:rsidTr="00AF3511">
        <w:tc>
          <w:tcPr>
            <w:tcW w:w="957" w:type="dxa"/>
          </w:tcPr>
          <w:p w:rsidR="00AF3511" w:rsidRDefault="00AF3511" w:rsidP="00AF3511">
            <w:pPr>
              <w:pStyle w:val="NoSpacing"/>
              <w:jc w:val="center"/>
            </w:pPr>
            <w:r>
              <w:t>Area</w:t>
            </w:r>
          </w:p>
        </w:tc>
        <w:tc>
          <w:tcPr>
            <w:tcW w:w="957" w:type="dxa"/>
          </w:tcPr>
          <w:p w:rsidR="00AF3511" w:rsidRDefault="00522C8D" w:rsidP="00AF3511">
            <w:pPr>
              <w:pStyle w:val="NoSpacing"/>
              <w:jc w:val="center"/>
            </w:pPr>
            <w:r>
              <w:t>2000</w:t>
            </w:r>
          </w:p>
        </w:tc>
        <w:tc>
          <w:tcPr>
            <w:tcW w:w="957" w:type="dxa"/>
          </w:tcPr>
          <w:p w:rsidR="00AF3511" w:rsidRDefault="00522C8D" w:rsidP="00AF3511">
            <w:pPr>
              <w:pStyle w:val="NoSpacing"/>
              <w:jc w:val="center"/>
            </w:pPr>
            <w:r>
              <w:t>2001</w:t>
            </w:r>
          </w:p>
        </w:tc>
        <w:tc>
          <w:tcPr>
            <w:tcW w:w="957" w:type="dxa"/>
          </w:tcPr>
          <w:p w:rsidR="00AF3511" w:rsidRDefault="00522C8D" w:rsidP="00AF3511">
            <w:pPr>
              <w:pStyle w:val="NoSpacing"/>
              <w:jc w:val="center"/>
            </w:pPr>
            <w:r>
              <w:t>2001</w:t>
            </w:r>
          </w:p>
        </w:tc>
        <w:tc>
          <w:tcPr>
            <w:tcW w:w="958" w:type="dxa"/>
          </w:tcPr>
          <w:p w:rsidR="00AF3511" w:rsidRDefault="00522C8D" w:rsidP="00AF3511">
            <w:pPr>
              <w:pStyle w:val="NoSpacing"/>
              <w:jc w:val="center"/>
            </w:pPr>
            <w:r>
              <w:t>2003</w:t>
            </w:r>
          </w:p>
        </w:tc>
        <w:tc>
          <w:tcPr>
            <w:tcW w:w="958" w:type="dxa"/>
          </w:tcPr>
          <w:p w:rsidR="00AF3511" w:rsidRDefault="00522C8D" w:rsidP="00AF3511">
            <w:pPr>
              <w:pStyle w:val="NoSpacing"/>
              <w:jc w:val="center"/>
            </w:pPr>
            <w:r>
              <w:t>2004</w:t>
            </w:r>
          </w:p>
        </w:tc>
        <w:tc>
          <w:tcPr>
            <w:tcW w:w="958" w:type="dxa"/>
          </w:tcPr>
          <w:p w:rsidR="00AF3511" w:rsidRDefault="00522C8D" w:rsidP="00AF3511">
            <w:pPr>
              <w:pStyle w:val="NoSpacing"/>
              <w:jc w:val="center"/>
            </w:pPr>
            <w:r>
              <w:t>2005</w:t>
            </w:r>
          </w:p>
        </w:tc>
        <w:tc>
          <w:tcPr>
            <w:tcW w:w="958" w:type="dxa"/>
          </w:tcPr>
          <w:p w:rsidR="00AF3511" w:rsidRDefault="00522C8D" w:rsidP="00AF3511">
            <w:pPr>
              <w:pStyle w:val="NoSpacing"/>
              <w:jc w:val="center"/>
            </w:pPr>
            <w:r>
              <w:t>2010</w:t>
            </w:r>
          </w:p>
        </w:tc>
        <w:tc>
          <w:tcPr>
            <w:tcW w:w="958" w:type="dxa"/>
          </w:tcPr>
          <w:p w:rsidR="00AF3511" w:rsidRDefault="00522C8D" w:rsidP="00AF3511">
            <w:pPr>
              <w:pStyle w:val="NoSpacing"/>
              <w:jc w:val="center"/>
            </w:pPr>
            <w:r>
              <w:t>2020</w:t>
            </w:r>
          </w:p>
        </w:tc>
        <w:tc>
          <w:tcPr>
            <w:tcW w:w="958" w:type="dxa"/>
          </w:tcPr>
          <w:p w:rsidR="00AF3511" w:rsidRDefault="00522C8D" w:rsidP="00AF3511">
            <w:pPr>
              <w:pStyle w:val="NoSpacing"/>
              <w:jc w:val="center"/>
            </w:pPr>
            <w:r>
              <w:t>2030</w:t>
            </w:r>
          </w:p>
        </w:tc>
      </w:tr>
      <w:tr w:rsidR="00AF3511" w:rsidTr="00AF3511">
        <w:tc>
          <w:tcPr>
            <w:tcW w:w="957" w:type="dxa"/>
          </w:tcPr>
          <w:p w:rsidR="00AF3511" w:rsidRDefault="00522C8D" w:rsidP="00AF3511">
            <w:pPr>
              <w:pStyle w:val="NoSpacing"/>
              <w:jc w:val="center"/>
            </w:pPr>
            <w:r>
              <w:t>Randolph City</w:t>
            </w:r>
          </w:p>
        </w:tc>
        <w:tc>
          <w:tcPr>
            <w:tcW w:w="957" w:type="dxa"/>
          </w:tcPr>
          <w:p w:rsidR="00AF3511" w:rsidRDefault="00522C8D" w:rsidP="00AF3511">
            <w:pPr>
              <w:pStyle w:val="NoSpacing"/>
              <w:jc w:val="center"/>
            </w:pPr>
            <w:r>
              <w:t>508</w:t>
            </w:r>
          </w:p>
        </w:tc>
        <w:tc>
          <w:tcPr>
            <w:tcW w:w="957" w:type="dxa"/>
          </w:tcPr>
          <w:p w:rsidR="00AF3511" w:rsidRDefault="00522C8D" w:rsidP="00AF3511">
            <w:pPr>
              <w:pStyle w:val="NoSpacing"/>
              <w:jc w:val="center"/>
            </w:pPr>
            <w:r>
              <w:t>508</w:t>
            </w:r>
          </w:p>
        </w:tc>
        <w:tc>
          <w:tcPr>
            <w:tcW w:w="957" w:type="dxa"/>
          </w:tcPr>
          <w:p w:rsidR="00AF3511" w:rsidRDefault="00522C8D" w:rsidP="00AF3511">
            <w:pPr>
              <w:pStyle w:val="NoSpacing"/>
              <w:jc w:val="center"/>
            </w:pPr>
            <w:r>
              <w:t>508</w:t>
            </w:r>
          </w:p>
        </w:tc>
        <w:tc>
          <w:tcPr>
            <w:tcW w:w="958" w:type="dxa"/>
          </w:tcPr>
          <w:p w:rsidR="00AF3511" w:rsidRDefault="00522C8D" w:rsidP="00AF3511">
            <w:pPr>
              <w:pStyle w:val="NoSpacing"/>
              <w:jc w:val="center"/>
            </w:pPr>
            <w:r>
              <w:t>508</w:t>
            </w:r>
          </w:p>
        </w:tc>
        <w:tc>
          <w:tcPr>
            <w:tcW w:w="958" w:type="dxa"/>
          </w:tcPr>
          <w:p w:rsidR="00AF3511" w:rsidRDefault="00522C8D" w:rsidP="00AF3511">
            <w:pPr>
              <w:pStyle w:val="NoSpacing"/>
              <w:jc w:val="center"/>
            </w:pPr>
            <w:r>
              <w:t>510</w:t>
            </w:r>
          </w:p>
        </w:tc>
        <w:tc>
          <w:tcPr>
            <w:tcW w:w="958" w:type="dxa"/>
          </w:tcPr>
          <w:p w:rsidR="00AF3511" w:rsidRDefault="00522C8D" w:rsidP="00AF3511">
            <w:pPr>
              <w:pStyle w:val="NoSpacing"/>
              <w:jc w:val="center"/>
            </w:pPr>
            <w:r>
              <w:t>510</w:t>
            </w:r>
          </w:p>
        </w:tc>
        <w:tc>
          <w:tcPr>
            <w:tcW w:w="958" w:type="dxa"/>
          </w:tcPr>
          <w:p w:rsidR="00AF3511" w:rsidRDefault="00522C8D" w:rsidP="00AF3511">
            <w:pPr>
              <w:pStyle w:val="NoSpacing"/>
              <w:jc w:val="center"/>
            </w:pPr>
            <w:r>
              <w:t>525</w:t>
            </w:r>
          </w:p>
        </w:tc>
        <w:tc>
          <w:tcPr>
            <w:tcW w:w="958" w:type="dxa"/>
          </w:tcPr>
          <w:p w:rsidR="00AF3511" w:rsidRDefault="00522C8D" w:rsidP="00AF3511">
            <w:pPr>
              <w:pStyle w:val="NoSpacing"/>
              <w:jc w:val="center"/>
            </w:pPr>
            <w:r>
              <w:t>538</w:t>
            </w:r>
          </w:p>
        </w:tc>
        <w:tc>
          <w:tcPr>
            <w:tcW w:w="958" w:type="dxa"/>
          </w:tcPr>
          <w:p w:rsidR="00AF3511" w:rsidRDefault="00522C8D" w:rsidP="00AF3511">
            <w:pPr>
              <w:pStyle w:val="NoSpacing"/>
              <w:jc w:val="center"/>
            </w:pPr>
            <w:r>
              <w:t>538</w:t>
            </w:r>
          </w:p>
        </w:tc>
      </w:tr>
    </w:tbl>
    <w:p w:rsidR="00AF3511" w:rsidRDefault="00522C8D" w:rsidP="00AF3511">
      <w:pPr>
        <w:pStyle w:val="NoSpacing"/>
        <w:jc w:val="center"/>
      </w:pPr>
      <w:r>
        <w:t>**Source: Governor’s Office of Planning and Budget</w:t>
      </w:r>
    </w:p>
    <w:p w:rsidR="00522C8D" w:rsidRDefault="00522C8D" w:rsidP="00AF3511">
      <w:pPr>
        <w:pStyle w:val="NoSpacing"/>
        <w:jc w:val="center"/>
      </w:pPr>
    </w:p>
    <w:p w:rsidR="00522C8D" w:rsidRDefault="00522C8D" w:rsidP="00522C8D">
      <w:pPr>
        <w:pStyle w:val="NoSpacing"/>
      </w:pPr>
      <w:r>
        <w:tab/>
        <w:t xml:space="preserve">According to the state, the population will increase from 2000 to 510 in 2005.  This is an increase of </w:t>
      </w:r>
      <w:r w:rsidR="005041B4">
        <w:t>approximately</w:t>
      </w:r>
      <w:r>
        <w:t xml:space="preserve"> 2%.</w:t>
      </w:r>
    </w:p>
    <w:p w:rsidR="00522C8D" w:rsidRDefault="00522C8D" w:rsidP="00522C8D">
      <w:pPr>
        <w:pStyle w:val="NoSpacing"/>
      </w:pPr>
    </w:p>
    <w:p w:rsidR="00522C8D" w:rsidRDefault="00522C8D" w:rsidP="00522C8D">
      <w:pPr>
        <w:pStyle w:val="NoSpacing"/>
      </w:pPr>
      <w:r>
        <w:tab/>
        <w:t>Randolph does not restrict affordable housing.  The demand for housing is low and there is little population growth.  The units that are available in Randolph are still affordable.  Homes are currently selling between $30,000 and $50,000, which is within the income categories.  The current zoning regulations in Randolph do not restrict affordable housing.  They allow for ¼ acre lots within the city.</w:t>
      </w:r>
    </w:p>
    <w:p w:rsidR="00522C8D" w:rsidRDefault="00522C8D" w:rsidP="00522C8D">
      <w:pPr>
        <w:pStyle w:val="NoSpacing"/>
      </w:pPr>
    </w:p>
    <w:p w:rsidR="00522C8D" w:rsidRDefault="00522C8D" w:rsidP="00522C8D">
      <w:pPr>
        <w:pStyle w:val="NoSpacing"/>
        <w:jc w:val="center"/>
      </w:pPr>
    </w:p>
    <w:p w:rsidR="00522C8D" w:rsidRDefault="00522C8D" w:rsidP="00522C8D">
      <w:pPr>
        <w:pStyle w:val="NoSpacing"/>
        <w:jc w:val="center"/>
      </w:pPr>
      <w:r>
        <w:t>Goals &amp; Policies</w:t>
      </w:r>
    </w:p>
    <w:p w:rsidR="00522C8D" w:rsidRDefault="00522C8D" w:rsidP="00522C8D">
      <w:pPr>
        <w:pStyle w:val="NoSpacing"/>
        <w:jc w:val="center"/>
      </w:pPr>
    </w:p>
    <w:p w:rsidR="00522C8D" w:rsidRDefault="00522C8D" w:rsidP="00522C8D">
      <w:pPr>
        <w:pStyle w:val="NoSpacing"/>
      </w:pPr>
      <w:r>
        <w:t>To help maintain affordable housing the city has outlined the following goals and implementation strategies.</w:t>
      </w:r>
    </w:p>
    <w:p w:rsidR="00522C8D" w:rsidRDefault="00522C8D" w:rsidP="00522C8D">
      <w:pPr>
        <w:pStyle w:val="NoSpacing"/>
      </w:pPr>
      <w:r>
        <w:t>Goals: Revise Housing Element of the general plan every five years</w:t>
      </w:r>
    </w:p>
    <w:p w:rsidR="00522C8D" w:rsidRDefault="00522C8D" w:rsidP="00522C8D">
      <w:pPr>
        <w:pStyle w:val="NoSpacing"/>
      </w:pPr>
      <w:r>
        <w:t>Implementation strategy</w:t>
      </w:r>
    </w:p>
    <w:p w:rsidR="00522C8D" w:rsidRDefault="00522C8D" w:rsidP="00522C8D">
      <w:pPr>
        <w:pStyle w:val="NoSpacing"/>
      </w:pPr>
      <w:r>
        <w:t>Goal: Provide housing resources for citizens and the community as a whole.</w:t>
      </w:r>
    </w:p>
    <w:p w:rsidR="00522C8D" w:rsidRDefault="00522C8D" w:rsidP="00522C8D">
      <w:pPr>
        <w:pStyle w:val="NoSpacing"/>
      </w:pPr>
      <w:r>
        <w:t>Implementation Strategy</w:t>
      </w:r>
    </w:p>
    <w:p w:rsidR="00522C8D" w:rsidRDefault="00522C8D" w:rsidP="00522C8D">
      <w:pPr>
        <w:pStyle w:val="NoSpacing"/>
      </w:pPr>
      <w:r>
        <w:t>Goal: encourage the removal and clean up of old and dangerous dwellings.</w:t>
      </w:r>
    </w:p>
    <w:p w:rsidR="00522C8D" w:rsidRDefault="00522C8D" w:rsidP="00522C8D">
      <w:pPr>
        <w:pStyle w:val="NoSpacing"/>
      </w:pPr>
      <w:r>
        <w:t>Implementation strategy</w:t>
      </w:r>
    </w:p>
    <w:p w:rsidR="00522C8D" w:rsidRDefault="00522C8D" w:rsidP="00522C8D">
      <w:pPr>
        <w:pStyle w:val="NoSpacing"/>
      </w:pPr>
    </w:p>
    <w:p w:rsidR="00522C8D" w:rsidRDefault="00522C8D" w:rsidP="00522C8D">
      <w:pPr>
        <w:pStyle w:val="NoSpacing"/>
      </w:pPr>
      <w:r>
        <w:tab/>
        <w:t>The City believes it provides opportunities for moderate income housing, which meets the needs of people desiring to live in the community.  This is based on the existing availability of moderate income housing, the low rate of population growth, and the current zoning regulations.  Also, the City will strive to meet its goals and implementations strategies, which include updating the housing element of its General Plan every five years.</w:t>
      </w:r>
    </w:p>
    <w:p w:rsidR="00522C8D" w:rsidRDefault="00522C8D" w:rsidP="00522C8D">
      <w:pPr>
        <w:pStyle w:val="NoSpacing"/>
      </w:pPr>
    </w:p>
    <w:p w:rsidR="00522C8D" w:rsidRDefault="00522C8D" w:rsidP="00522C8D">
      <w:pPr>
        <w:pStyle w:val="NoSpacing"/>
        <w:rPr>
          <w:b/>
          <w:u w:val="single" w:color="FFFFFF" w:themeColor="background1"/>
        </w:rPr>
      </w:pPr>
      <w:r>
        <w:rPr>
          <w:b/>
          <w:u w:val="single" w:color="FFFFFF" w:themeColor="background1"/>
        </w:rPr>
        <w:t>Adopted by R &amp; 2</w:t>
      </w:r>
      <w:r>
        <w:rPr>
          <w:b/>
          <w:u w:val="single" w:color="FFFFFF" w:themeColor="background1"/>
        </w:rPr>
        <w:tab/>
        <w:t>8-1-01</w:t>
      </w:r>
    </w:p>
    <w:p w:rsidR="00522C8D" w:rsidRDefault="00522C8D" w:rsidP="00522C8D">
      <w:pPr>
        <w:pStyle w:val="NoSpacing"/>
        <w:rPr>
          <w:b/>
          <w:u w:val="single" w:color="FFFFFF" w:themeColor="background1"/>
        </w:rPr>
      </w:pPr>
    </w:p>
    <w:p w:rsidR="000A3EAE" w:rsidRPr="00262C77" w:rsidRDefault="000A3EAE" w:rsidP="00522C8D">
      <w:pPr>
        <w:pStyle w:val="NoSpacing"/>
        <w:rPr>
          <w:u w:val="single" w:color="FFFFFF" w:themeColor="background1"/>
        </w:rPr>
      </w:pPr>
    </w:p>
    <w:sectPr w:rsidR="000A3EAE" w:rsidRPr="00262C77" w:rsidSect="007D4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DCF"/>
    <w:rsid w:val="000A3EAE"/>
    <w:rsid w:val="000D15C1"/>
    <w:rsid w:val="00262C77"/>
    <w:rsid w:val="00344C8C"/>
    <w:rsid w:val="00385849"/>
    <w:rsid w:val="004A4A05"/>
    <w:rsid w:val="005041B4"/>
    <w:rsid w:val="00522C8D"/>
    <w:rsid w:val="006511E6"/>
    <w:rsid w:val="007D4FE8"/>
    <w:rsid w:val="00AF3511"/>
    <w:rsid w:val="00E6701E"/>
    <w:rsid w:val="00EB7124"/>
    <w:rsid w:val="00F06D1D"/>
    <w:rsid w:val="00F11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DCF"/>
    <w:pPr>
      <w:spacing w:after="0" w:line="240" w:lineRule="auto"/>
    </w:pPr>
  </w:style>
  <w:style w:type="table" w:styleId="TableGrid">
    <w:name w:val="Table Grid"/>
    <w:basedOn w:val="TableNormal"/>
    <w:uiPriority w:val="59"/>
    <w:rsid w:val="00AF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dc:creator>
  <cp:lastModifiedBy>clerk</cp:lastModifiedBy>
  <cp:revision>4</cp:revision>
  <dcterms:created xsi:type="dcterms:W3CDTF">2011-06-24T18:42:00Z</dcterms:created>
  <dcterms:modified xsi:type="dcterms:W3CDTF">2011-07-28T15:36:00Z</dcterms:modified>
</cp:coreProperties>
</file>